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672"/>
      </w:tblGrid>
      <w:tr w:rsidR="00355BBF" w14:paraId="764FBB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F51E788" w14:textId="77777777" w:rsidR="00355BBF" w:rsidRDefault="001A44B5">
            <w:r>
              <w:rPr>
                <w:noProof/>
              </w:rPr>
              <w:drawing>
                <wp:inline distT="0" distB="0" distL="0" distR="0" wp14:anchorId="2A5A04C9" wp14:editId="5A76673D">
                  <wp:extent cx="542925" cy="6286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42C17C9" w14:textId="77777777" w:rsidR="00355BBF" w:rsidRDefault="001A44B5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REPÚBLICA DE PANAMÁ</w:t>
            </w:r>
          </w:p>
          <w:p w14:paraId="3A994985" w14:textId="77777777" w:rsidR="00355BBF" w:rsidRDefault="001A44B5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MINISTERIO DE SEGURIDAD PÚBLICA</w:t>
            </w:r>
          </w:p>
          <w:p w14:paraId="25A64271" w14:textId="77777777" w:rsidR="00355BBF" w:rsidRDefault="001A44B5">
            <w:pPr>
              <w:spacing w:line="252" w:lineRule="auto"/>
            </w:pPr>
            <w:r>
              <w:rPr>
                <w:b/>
                <w:bCs/>
                <w:color w:val="10233F"/>
                <w:spacing w:val="10"/>
                <w:sz w:val="25"/>
                <w:szCs w:val="25"/>
              </w:rPr>
              <w:t>SERVICIO NACIONAL DE MIGRACIÓN</w:t>
            </w:r>
          </w:p>
        </w:tc>
      </w:tr>
    </w:tbl>
    <w:p w14:paraId="6BE082EA" w14:textId="77777777" w:rsidR="00355BBF" w:rsidRDefault="00355BBF">
      <w:pPr>
        <w:spacing w:after="90"/>
      </w:pPr>
    </w:p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6"/>
        <w:gridCol w:w="4986"/>
      </w:tblGrid>
      <w:tr w:rsidR="00355BBF" w14:paraId="5D9B1711" w14:textId="77777777">
        <w:tblPrEx>
          <w:tblCellMar>
            <w:top w:w="0" w:type="dxa"/>
            <w:bottom w:w="0" w:type="dxa"/>
          </w:tblCellMar>
        </w:tblPrEx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293"/>
          </w:tcPr>
          <w:p w14:paraId="1F0B308A" w14:textId="77777777" w:rsidR="00355BBF" w:rsidRDefault="00355BBF">
            <w:pPr>
              <w:spacing w:line="70" w:lineRule="exact"/>
            </w:pPr>
          </w:p>
        </w:tc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21034"/>
          </w:tcPr>
          <w:p w14:paraId="0B51D668" w14:textId="77777777" w:rsidR="00355BBF" w:rsidRDefault="00355BBF">
            <w:pPr>
              <w:spacing w:line="70" w:lineRule="exact"/>
            </w:pPr>
          </w:p>
        </w:tc>
      </w:tr>
    </w:tbl>
    <w:p w14:paraId="21D0C55D" w14:textId="77777777" w:rsidR="00355BBF" w:rsidRDefault="00355BBF">
      <w:pPr>
        <w:spacing w:after="720"/>
      </w:pPr>
    </w:p>
    <w:p w14:paraId="6130409F" w14:textId="77777777" w:rsidR="00355BBF" w:rsidRDefault="001A44B5">
      <w:pPr>
        <w:spacing w:after="160"/>
        <w:jc w:val="center"/>
      </w:pPr>
      <w:r>
        <w:rPr>
          <w:noProof/>
        </w:rPr>
        <w:drawing>
          <wp:inline distT="0" distB="0" distL="0" distR="0" wp14:anchorId="0B636F4C" wp14:editId="00B16BD0">
            <wp:extent cx="2057400" cy="1809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0AAD" w14:textId="77777777" w:rsidR="00355BBF" w:rsidRDefault="001A44B5">
      <w:pPr>
        <w:spacing w:after="40"/>
        <w:jc w:val="center"/>
      </w:pPr>
      <w:r>
        <w:rPr>
          <w:b/>
          <w:bCs/>
          <w:color w:val="10233F"/>
          <w:sz w:val="26"/>
          <w:szCs w:val="26"/>
        </w:rPr>
        <w:t>ARGO NAVIS · Sistema Interno Marítimo</w:t>
      </w:r>
    </w:p>
    <w:p w14:paraId="1BA24C71" w14:textId="77777777" w:rsidR="00355BBF" w:rsidRDefault="001A44B5">
      <w:pPr>
        <w:spacing w:after="720"/>
        <w:jc w:val="center"/>
      </w:pPr>
      <w:r>
        <w:rPr>
          <w:color w:val="526176"/>
        </w:rPr>
        <w:t>Módulo Autorizaciones Marítimas (UCVMM)</w:t>
      </w:r>
    </w:p>
    <w:p w14:paraId="3C5B4A5E" w14:textId="77777777" w:rsidR="00355BBF" w:rsidRDefault="001A44B5">
      <w:pPr>
        <w:spacing w:after="120"/>
        <w:jc w:val="center"/>
      </w:pPr>
      <w:r>
        <w:rPr>
          <w:b/>
          <w:bCs/>
          <w:color w:val="003DA5"/>
          <w:spacing w:val="60"/>
        </w:rPr>
        <w:t>DOCUMENTO 07</w:t>
      </w:r>
    </w:p>
    <w:p w14:paraId="1540BE49" w14:textId="77777777" w:rsidR="00355BBF" w:rsidRDefault="001A44B5">
      <w:pPr>
        <w:spacing w:after="160" w:line="252" w:lineRule="auto"/>
        <w:jc w:val="center"/>
      </w:pPr>
      <w:r>
        <w:rPr>
          <w:b/>
          <w:bCs/>
          <w:color w:val="10233F"/>
          <w:sz w:val="46"/>
          <w:szCs w:val="46"/>
        </w:rPr>
        <w:t>Inventario de integraciones</w:t>
      </w:r>
    </w:p>
    <w:p w14:paraId="6FD0AA98" w14:textId="77777777" w:rsidR="00355BBF" w:rsidRDefault="00355BBF">
      <w:pPr>
        <w:pBdr>
          <w:bottom w:val="single" w:sz="24" w:space="1" w:color="F2C94C"/>
        </w:pBdr>
        <w:spacing w:after="200"/>
        <w:ind w:left="3600" w:right="3600"/>
        <w:jc w:val="center"/>
      </w:pPr>
    </w:p>
    <w:p w14:paraId="332D6C46" w14:textId="77777777" w:rsidR="00355BBF" w:rsidRDefault="001A44B5">
      <w:pPr>
        <w:spacing w:after="1100" w:line="276" w:lineRule="auto"/>
        <w:jc w:val="center"/>
      </w:pPr>
      <w:r>
        <w:rPr>
          <w:color w:val="526176"/>
          <w:sz w:val="22"/>
          <w:szCs w:val="22"/>
        </w:rPr>
        <w:t>Servicios internos y externos con los que ARGO NAVIS se comunica: operativos, simulados, manuales o pendientes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2374"/>
        <w:gridCol w:w="5224"/>
      </w:tblGrid>
      <w:tr w:rsidR="00355BBF" w14:paraId="328311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9F985C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506F2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22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083FC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355BBF" w14:paraId="05F00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255E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E65DE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2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E333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Borrador para revisión y validación</w:t>
            </w:r>
          </w:p>
        </w:tc>
      </w:tr>
    </w:tbl>
    <w:p w14:paraId="637C2561" w14:textId="77777777" w:rsidR="00355BBF" w:rsidRDefault="00355BBF">
      <w:pPr>
        <w:spacing w:after="120"/>
      </w:pPr>
    </w:p>
    <w:p w14:paraId="2CB2DF8B" w14:textId="77777777" w:rsidR="00355BBF" w:rsidRDefault="001A44B5">
      <w:pPr>
        <w:jc w:val="center"/>
      </w:pPr>
      <w:r>
        <w:rPr>
          <w:i/>
          <w:iCs/>
          <w:color w:val="526176"/>
          <w:sz w:val="17"/>
          <w:szCs w:val="17"/>
        </w:rPr>
        <w:t>Documentación funcional y técnica · Línea base generada a partir del código fuente</w:t>
      </w:r>
    </w:p>
    <w:p w14:paraId="6536A126" w14:textId="77777777" w:rsidR="00355BBF" w:rsidRDefault="00355BBF">
      <w:pPr>
        <w:sectPr w:rsidR="00355BBF">
          <w:headerReference w:type="default" r:id="rId9"/>
          <w:footerReference w:type="default" r:id="rId10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7BD11DD8" w14:textId="77777777" w:rsidR="00355BBF" w:rsidRDefault="001A44B5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Control del documento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7598"/>
      </w:tblGrid>
      <w:tr w:rsidR="00355BBF" w14:paraId="1161D8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72EF0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</w:t>
            </w:r>
          </w:p>
        </w:tc>
        <w:tc>
          <w:tcPr>
            <w:tcW w:w="759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48368E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355BBF" w14:paraId="2A8D3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B3FB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B8687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ARGO NAVIS · Sistema Interno Marítimo (antes «NAVIS») — Servicio Nacional de Migración de Panamá</w:t>
            </w:r>
          </w:p>
        </w:tc>
      </w:tr>
      <w:tr w:rsidR="00355BBF" w14:paraId="4DCBD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00F9D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Módulo documentado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D08E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Autorizaciones Marítimas (UCVMM)</w:t>
            </w:r>
          </w:p>
        </w:tc>
      </w:tr>
      <w:tr w:rsidR="00355BBF" w14:paraId="5093C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EE6EC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Documento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1CF94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07 · Inventario de integraciones</w:t>
            </w:r>
          </w:p>
        </w:tc>
      </w:tr>
      <w:tr w:rsidR="00355BBF" w14:paraId="23292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44027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Versión y fecha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2031F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0.1 — 20/10/2026</w:t>
            </w:r>
          </w:p>
        </w:tc>
      </w:tr>
      <w:tr w:rsidR="00355BBF" w14:paraId="2BEED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94ADF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Solicitado por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A489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Dirección de Tecnología e Innovación (DTI)</w:t>
            </w:r>
          </w:p>
        </w:tc>
      </w:tr>
      <w:tr w:rsidR="00355BBF" w14:paraId="2EAD0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B02C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Base del análisis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3692D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Código fuente del repositorio ArgoNavis (rama main); esquema de base de datos en la revisión Alembic a3d9c6e1f584; configuración por defecto (backend/app/core/config.py y docker-compose-prod.yml); pruebas automatizadas (backend/tests).</w:t>
            </w:r>
          </w:p>
        </w:tc>
      </w:tr>
      <w:tr w:rsidR="00355BBF" w14:paraId="282B9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4C84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Estado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04D35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Generado a p</w:t>
            </w:r>
            <w:r>
              <w:rPr>
                <w:sz w:val="17"/>
                <w:szCs w:val="17"/>
              </w:rPr>
              <w:t>artir del código fuente. Pendiente de revisión por el equipo de desarrollo y, donde se indica, de validación del área usuaria (UCVMM).</w:t>
            </w:r>
          </w:p>
        </w:tc>
      </w:tr>
    </w:tbl>
    <w:p w14:paraId="2C4F81A1" w14:textId="77777777" w:rsidR="00355BBF" w:rsidRDefault="001A44B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Revisión y aprobación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8"/>
        <w:gridCol w:w="3627"/>
        <w:gridCol w:w="2417"/>
        <w:gridCol w:w="1510"/>
      </w:tblGrid>
      <w:tr w:rsidR="00355BBF" w14:paraId="428D41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CBDC8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Responsabilidad</w:t>
            </w:r>
          </w:p>
        </w:tc>
        <w:tc>
          <w:tcPr>
            <w:tcW w:w="36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794F4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 y cargo</w:t>
            </w:r>
          </w:p>
        </w:tc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3951D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  <w:tc>
          <w:tcPr>
            <w:tcW w:w="151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DC4699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</w:tr>
      <w:tr w:rsidR="00355BBF" w14:paraId="01D65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1BCCD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Elaborado por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DA6D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46B7C3" w14:textId="77777777" w:rsidR="00355BBF" w:rsidRDefault="00355BBF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48105" w14:textId="77777777" w:rsidR="00355BBF" w:rsidRDefault="00355BBF">
            <w:pPr>
              <w:spacing w:after="20" w:line="252" w:lineRule="auto"/>
            </w:pPr>
          </w:p>
        </w:tc>
      </w:tr>
      <w:tr w:rsidR="00355BBF" w14:paraId="27487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758F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Revisado por (equipo de desarrollo)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FD14B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118B4" w14:textId="77777777" w:rsidR="00355BBF" w:rsidRDefault="00355BBF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D7FB0" w14:textId="77777777" w:rsidR="00355BBF" w:rsidRDefault="00355BBF">
            <w:pPr>
              <w:spacing w:after="20" w:line="252" w:lineRule="auto"/>
            </w:pPr>
          </w:p>
        </w:tc>
      </w:tr>
      <w:tr w:rsidR="00355BBF" w14:paraId="6450F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ABA0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Validado por (área usuaria · UCVMM)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4FCC8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6280A" w14:textId="77777777" w:rsidR="00355BBF" w:rsidRDefault="00355BBF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1AEF09" w14:textId="77777777" w:rsidR="00355BBF" w:rsidRDefault="00355BBF">
            <w:pPr>
              <w:spacing w:after="20" w:line="252" w:lineRule="auto"/>
            </w:pPr>
          </w:p>
        </w:tc>
      </w:tr>
      <w:tr w:rsidR="00355BBF" w14:paraId="5B2E3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5C81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Recibido por (DTI)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9DFA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65746" w14:textId="77777777" w:rsidR="00355BBF" w:rsidRDefault="00355BBF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EDC18" w14:textId="77777777" w:rsidR="00355BBF" w:rsidRDefault="00355BBF">
            <w:pPr>
              <w:spacing w:after="20" w:line="252" w:lineRule="auto"/>
            </w:pPr>
          </w:p>
        </w:tc>
      </w:tr>
    </w:tbl>
    <w:p w14:paraId="174E466B" w14:textId="77777777" w:rsidR="00355BBF" w:rsidRDefault="001A44B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Historial de versiones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"/>
        <w:gridCol w:w="1385"/>
        <w:gridCol w:w="5541"/>
        <w:gridCol w:w="2077"/>
      </w:tblGrid>
      <w:tr w:rsidR="00355BBF" w14:paraId="74DD66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F022EE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38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78D6D0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5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D58E9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Cambios</w:t>
            </w:r>
          </w:p>
        </w:tc>
        <w:tc>
          <w:tcPr>
            <w:tcW w:w="20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B934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</w:tr>
      <w:tr w:rsidR="00355BBF" w14:paraId="25AD8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EA5A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13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62BB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5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281E4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Borrador inicial generado a partir del código fuente, para revisión.</w:t>
            </w:r>
          </w:p>
        </w:tc>
        <w:tc>
          <w:tcPr>
            <w:tcW w:w="20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DEA2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</w:tr>
    </w:tbl>
    <w:p w14:paraId="0C40E04F" w14:textId="77777777" w:rsidR="00355BBF" w:rsidRDefault="001A44B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Convenciones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7978"/>
      </w:tblGrid>
      <w:tr w:rsidR="00355BBF" w14:paraId="743F82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E9E515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Marca</w:t>
            </w:r>
          </w:p>
        </w:tc>
        <w:tc>
          <w:tcPr>
            <w:tcW w:w="79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61AD0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Significado</w:t>
            </w:r>
          </w:p>
        </w:tc>
      </w:tr>
      <w:tr w:rsidR="00355BBF" w14:paraId="5D4F0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83A8B1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Implementado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EB635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Existe en el código y se usa desde la aplicación (pantalla o API).</w:t>
            </w:r>
          </w:p>
        </w:tc>
      </w:tr>
      <w:tr w:rsidR="00355BBF" w14:paraId="51B4F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CD6C23" w14:textId="77777777" w:rsidR="00355BBF" w:rsidRDefault="001A44B5">
            <w:r>
              <w:rPr>
                <w:b/>
                <w:bCs/>
                <w:color w:val="92400E"/>
                <w:sz w:val="16"/>
                <w:szCs w:val="16"/>
              </w:rPr>
              <w:t>Parcial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BA575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Existe una parte (por ejemplo, la API sin pantalla) o funciona con limitaciones.</w:t>
            </w:r>
          </w:p>
        </w:tc>
      </w:tr>
      <w:tr w:rsidR="00355BBF" w14:paraId="40779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AD1453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169E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No está implementado; está identificado como trabajo por hacer.</w:t>
            </w:r>
          </w:p>
        </w:tc>
      </w:tr>
      <w:tr w:rsidR="00355BBF" w14:paraId="0194E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403001" w14:textId="77777777" w:rsidR="00355BBF" w:rsidRDefault="001A44B5">
            <w:r>
              <w:rPr>
                <w:b/>
                <w:bCs/>
                <w:color w:val="526176"/>
                <w:sz w:val="16"/>
                <w:szCs w:val="16"/>
              </w:rPr>
              <w:t>Fuera del sistema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7E6FD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La actividad ocurre fuera de ARGO NAVIS (a mano o en otro sistema).</w:t>
            </w:r>
          </w:p>
        </w:tc>
      </w:tr>
      <w:tr w:rsidR="00355BBF" w14:paraId="0A0EA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CF840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AC7B9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Regla, plazo o texto que el área usuaria debe confirmar.</w:t>
            </w:r>
          </w:p>
        </w:tc>
      </w:tr>
      <w:tr w:rsidR="00355BBF" w14:paraId="2C3CF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082D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Sustento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07C5D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Archivo que respalda el hallazgo, relativo a la raíz del repositorio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backend/…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frontend/…</w:t>
            </w:r>
            <w:r>
              <w:rPr>
                <w:sz w:val="17"/>
                <w:szCs w:val="17"/>
              </w:rPr>
              <w:t>), y la función o componente cuando aplica.</w:t>
            </w:r>
          </w:p>
        </w:tc>
      </w:tr>
    </w:tbl>
    <w:p w14:paraId="3AA24F77" w14:textId="77777777" w:rsidR="00355BBF" w:rsidRDefault="001A44B5">
      <w:pPr>
        <w:spacing w:before="120"/>
      </w:pPr>
      <w:r>
        <w:rPr>
          <w:i/>
          <w:iCs/>
          <w:color w:val="526176"/>
          <w:sz w:val="18"/>
          <w:szCs w:val="18"/>
        </w:rPr>
        <w:t>No contiene credenciales, secretos ni datos personales reales. Las capturas de pantalla usan datos ficticios.</w:t>
      </w:r>
    </w:p>
    <w:p w14:paraId="7FCF6643" w14:textId="77777777" w:rsidR="00355BBF" w:rsidRDefault="001A44B5">
      <w:r>
        <w:br w:type="page"/>
      </w:r>
    </w:p>
    <w:p w14:paraId="529316F8" w14:textId="77777777" w:rsidR="00355BBF" w:rsidRDefault="001A44B5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Contenido</w:t>
      </w:r>
    </w:p>
    <w:sdt>
      <w:sdtPr>
        <w:alias w:val="Contenido"/>
        <w:id w:val="1328324092"/>
      </w:sdtPr>
      <w:sdtEndPr>
        <w:rPr>
          <w:b w:val="0"/>
          <w:bCs w:val="0"/>
          <w:color w:val="17283E"/>
          <w:sz w:val="20"/>
          <w:szCs w:val="20"/>
        </w:rPr>
      </w:sdtEndPr>
      <w:sdtContent>
        <w:p w14:paraId="61A67E9E" w14:textId="4546E056" w:rsidR="001A44B5" w:rsidRDefault="001A44B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0812" w:history="1">
            <w:r w:rsidRPr="000410F3">
              <w:rPr>
                <w:rStyle w:val="Hipervnculo"/>
                <w:noProof/>
              </w:rPr>
              <w:t>1.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54552E" w14:textId="1ABA601E" w:rsidR="001A44B5" w:rsidRDefault="001A44B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813" w:history="1">
            <w:r w:rsidRPr="000410F3">
              <w:rPr>
                <w:rStyle w:val="Hipervnculo"/>
                <w:noProof/>
              </w:rPr>
              <w:t>2.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54A11F" w14:textId="355D2321" w:rsidR="001A44B5" w:rsidRDefault="001A44B5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814" w:history="1">
            <w:r w:rsidRPr="000410F3">
              <w:rPr>
                <w:rStyle w:val="Hipervnculo"/>
                <w:noProof/>
              </w:rPr>
              <w:t>Operativas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B6132E" w14:textId="5BFEC234" w:rsidR="001A44B5" w:rsidRDefault="001A44B5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815" w:history="1">
            <w:r w:rsidRPr="000410F3">
              <w:rPr>
                <w:rStyle w:val="Hipervnculo"/>
                <w:noProof/>
              </w:rPr>
              <w:t>Parciales, no integradas y manuales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0A9B5D" w14:textId="10018074" w:rsidR="001A44B5" w:rsidRDefault="001A44B5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816" w:history="1">
            <w:r w:rsidRPr="000410F3">
              <w:rPr>
                <w:rStyle w:val="Hipervnculo"/>
                <w:noProof/>
              </w:rPr>
              <w:t>Pendientes de infraestructura o decisión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F6F57C" w14:textId="1AE308CB" w:rsidR="001A44B5" w:rsidRDefault="001A44B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817" w:history="1">
            <w:r w:rsidRPr="000410F3">
              <w:rPr>
                <w:rStyle w:val="Hipervnculo"/>
                <w:noProof/>
              </w:rPr>
              <w:t>3. Configuración necesaria para operar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346073" w14:textId="1542FC30" w:rsidR="001A44B5" w:rsidRDefault="001A44B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818" w:history="1">
            <w:r w:rsidRPr="000410F3">
              <w:rPr>
                <w:rStyle w:val="Hipervnculo"/>
                <w:noProof/>
              </w:rPr>
              <w:t>4. Puntos a validar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E281BE" w14:textId="3C6503C7" w:rsidR="00355BBF" w:rsidRDefault="001A44B5">
          <w:r>
            <w:fldChar w:fldCharType="end"/>
          </w:r>
        </w:p>
      </w:sdtContent>
    </w:sdt>
    <w:p w14:paraId="75985E77" w14:textId="77777777" w:rsidR="00355BBF" w:rsidRDefault="00355BBF">
      <w:pPr>
        <w:sectPr w:rsidR="00355BBF">
          <w:headerReference w:type="default" r:id="rId11"/>
          <w:footerReference w:type="default" r:id="rId12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716CF297" w14:textId="77777777" w:rsidR="00355BBF" w:rsidRDefault="001A44B5">
      <w:pPr>
        <w:pStyle w:val="Ttulo1"/>
      </w:pPr>
      <w:bookmarkStart w:id="0" w:name="_Toc243390812"/>
      <w:r>
        <w:lastRenderedPageBreak/>
        <w:t>1. Resumen</w:t>
      </w:r>
      <w:bookmarkEnd w:id="0"/>
    </w:p>
    <w:p w14:paraId="7BA37254" w14:textId="77777777" w:rsidR="00355BBF" w:rsidRDefault="001A44B5">
      <w:pPr>
        <w:spacing w:after="100" w:line="276" w:lineRule="auto"/>
      </w:pPr>
      <w:r>
        <w:t xml:space="preserve">ARGO NAVIS se integra hoy con dos servicios del SNM: el </w:t>
      </w:r>
      <w:r>
        <w:rPr>
          <w:b/>
          <w:bCs/>
        </w:rPr>
        <w:t>Active Directory</w:t>
      </w:r>
      <w:r>
        <w:t xml:space="preserve"> (inicio de sesión de los funcionarios) y el </w:t>
      </w:r>
      <w:r>
        <w:rPr>
          <w:b/>
          <w:bCs/>
        </w:rPr>
        <w:t>servidor de correo</w:t>
      </w:r>
      <w:r>
        <w:t xml:space="preserve"> (avisos). Todo lo demás corre dentro del propio servidor (base de datos y documentos) o queda </w:t>
      </w:r>
      <w:r>
        <w:rPr>
          <w:b/>
          <w:bCs/>
        </w:rPr>
        <w:t>fuera del sistema</w:t>
      </w:r>
      <w:r>
        <w:t xml:space="preserve">: la consulta de impedimentos en SIMPLUS, el aviso a Operaciones y el trámite de </w:t>
      </w:r>
      <w:r>
        <w:t>custodia se hacen a mano.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7873"/>
      </w:tblGrid>
      <w:tr w:rsidR="00355BBF" w14:paraId="044991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65FAE0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787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562EAE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Integraciones</w:t>
            </w:r>
          </w:p>
        </w:tc>
      </w:tr>
      <w:tr w:rsidR="00355BBF" w14:paraId="78DA3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68F946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</w:t>
            </w:r>
          </w:p>
        </w:tc>
        <w:tc>
          <w:tcPr>
            <w:tcW w:w="7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2F9E5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I-01 Active Directory · I-02 Correo (SMTP) · I-04 PostgreSQL · I-05 Documentos · I-06 Verificación pública del QR</w:t>
            </w:r>
          </w:p>
        </w:tc>
      </w:tr>
      <w:tr w:rsidR="00355BBF" w14:paraId="5BCF6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A5125" w14:textId="77777777" w:rsidR="00355BBF" w:rsidRDefault="001A44B5">
            <w:r>
              <w:rPr>
                <w:b/>
                <w:bCs/>
                <w:color w:val="92400E"/>
                <w:sz w:val="16"/>
                <w:szCs w:val="16"/>
              </w:rPr>
              <w:t>Parcial / por configurar</w:t>
            </w:r>
          </w:p>
        </w:tc>
        <w:tc>
          <w:tcPr>
            <w:tcW w:w="787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D7F49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I-03 Buzón de UCVMM</w:t>
            </w:r>
          </w:p>
        </w:tc>
      </w:tr>
      <w:tr w:rsidR="00355BBF" w14:paraId="22E34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394154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No integrada</w:t>
            </w:r>
          </w:p>
        </w:tc>
        <w:tc>
          <w:tcPr>
            <w:tcW w:w="7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C13E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I-07 SIMPLUS</w:t>
            </w:r>
          </w:p>
        </w:tc>
      </w:tr>
      <w:tr w:rsidR="00355BBF" w14:paraId="3F940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A34D1" w14:textId="77777777" w:rsidR="00355BBF" w:rsidRDefault="001A44B5">
            <w:r>
              <w:rPr>
                <w:b/>
                <w:bCs/>
                <w:color w:val="526176"/>
                <w:sz w:val="16"/>
                <w:szCs w:val="16"/>
              </w:rPr>
              <w:t>Manual / fuera del sistema</w:t>
            </w:r>
          </w:p>
        </w:tc>
        <w:tc>
          <w:tcPr>
            <w:tcW w:w="787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8D80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I-08 Aviso a Operaciones · I-09 Solicitud de Custodia</w:t>
            </w:r>
          </w:p>
        </w:tc>
      </w:tr>
      <w:tr w:rsidR="00355BBF" w14:paraId="5DD29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DE31D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7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AEAA9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I-10 Transbordos · I-11 HTTPS · I-12 LDAPS · I-13 Respaldo externo · I-14 Antivirus · I-15 Segundo factor · I-16 Límite distribuido</w:t>
            </w:r>
          </w:p>
        </w:tc>
      </w:tr>
      <w:tr w:rsidR="00355BBF" w14:paraId="291FA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A077F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Infraestructura</w:t>
            </w:r>
          </w:p>
        </w:tc>
        <w:tc>
          <w:tcPr>
            <w:tcW w:w="787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E8DB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I-17 VPN de las agencias (fuera del código)</w:t>
            </w:r>
          </w:p>
        </w:tc>
      </w:tr>
    </w:tbl>
    <w:p w14:paraId="3F157162" w14:textId="77777777" w:rsidR="00355BBF" w:rsidRDefault="00355BBF">
      <w:pPr>
        <w:spacing w:after="140"/>
      </w:pPr>
    </w:p>
    <w:tbl>
      <w:tblPr>
        <w:tblW w:w="5000" w:type="pct"/>
        <w:tblBorders>
          <w:top w:val="single" w:sz="4" w:space="0" w:color="CAD5E1"/>
          <w:left w:val="single" w:sz="24" w:space="0" w:color="003DA5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37"/>
      </w:tblGrid>
      <w:tr w:rsidR="00355BBF" w14:paraId="358381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EF4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4AB9518" w14:textId="77777777" w:rsidR="00355BBF" w:rsidRDefault="001A44B5">
            <w:pPr>
              <w:spacing w:after="40" w:line="264" w:lineRule="auto"/>
            </w:pPr>
            <w:r>
              <w:rPr>
                <w:b/>
                <w:bCs/>
                <w:sz w:val="19"/>
                <w:szCs w:val="19"/>
              </w:rPr>
              <w:t>Sin servicios de terceros.</w:t>
            </w:r>
            <w:r>
              <w:rPr>
                <w:sz w:val="19"/>
                <w:szCs w:val="19"/>
              </w:rPr>
              <w:t xml:space="preserve"> ARGO NAVIS no usa CDN, APIs externas ni servicios en la nube: el frontend, las fuentes y las librerías de vista previa (Word y Excel) se sirven desde el propio servidor, y la política de seguridad de contenido (CSP) lo impide. Sustento: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frontend/nginx.con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backend/app/main.py</w:t>
            </w:r>
            <w:r>
              <w:rPr>
                <w:sz w:val="19"/>
                <w:szCs w:val="19"/>
              </w:rPr>
              <w:t xml:space="preserve"> (_CABECERAS_SPA).</w:t>
            </w:r>
          </w:p>
        </w:tc>
      </w:tr>
    </w:tbl>
    <w:p w14:paraId="10FAA691" w14:textId="77777777" w:rsidR="00355BBF" w:rsidRDefault="00355BBF">
      <w:pPr>
        <w:spacing w:after="140"/>
      </w:pPr>
    </w:p>
    <w:p w14:paraId="7AD4D027" w14:textId="77777777" w:rsidR="00355BBF" w:rsidRDefault="001A44B5">
      <w:pPr>
        <w:spacing w:after="100" w:line="276" w:lineRule="auto"/>
      </w:pPr>
      <w:r>
        <w:rPr>
          <w:b/>
          <w:bCs/>
          <w:sz w:val="19"/>
          <w:szCs w:val="19"/>
        </w:rPr>
        <w:t>Pruebas de integración:</w:t>
      </w:r>
      <w:r>
        <w:rPr>
          <w:sz w:val="19"/>
          <w:szCs w:val="19"/>
        </w:rPr>
        <w:t xml:space="preserve"> el Active Directory se prueba contra un servidor LDAP simulado (</w:t>
      </w:r>
      <w:r>
        <w:rPr>
          <w:rFonts w:ascii="Consolas" w:eastAsia="Consolas" w:hAnsi="Consolas" w:cs="Consolas"/>
          <w:sz w:val="17"/>
          <w:szCs w:val="17"/>
        </w:rPr>
        <w:t>backend/tests/test_ldap.py</w:t>
      </w:r>
      <w:r>
        <w:rPr>
          <w:sz w:val="19"/>
          <w:szCs w:val="19"/>
        </w:rPr>
        <w:t>); los correos se arman y verifican sin enviarse (</w:t>
      </w:r>
      <w:r>
        <w:rPr>
          <w:rFonts w:ascii="Consolas" w:eastAsia="Consolas" w:hAnsi="Consolas" w:cs="Consolas"/>
          <w:sz w:val="17"/>
          <w:szCs w:val="17"/>
        </w:rPr>
        <w:t>backend/tests/test_correo.py</w:t>
      </w:r>
      <w:r>
        <w:rPr>
          <w:sz w:val="19"/>
          <w:szCs w:val="19"/>
        </w:rPr>
        <w:t>); la base de datos se prueba sobre una base temporal real (todas las pruebas de flujo). No hay pruebas automatizadas contra el AD ni el SMTP reales.</w:t>
      </w:r>
    </w:p>
    <w:p w14:paraId="5142734F" w14:textId="77777777" w:rsidR="00355BBF" w:rsidRDefault="00355BBF">
      <w:pPr>
        <w:sectPr w:rsidR="00355BBF">
          <w:headerReference w:type="default" r:id="rId13"/>
          <w:footerReference w:type="default" r:id="rId14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7D4E8360" w14:textId="77777777" w:rsidR="00355BBF" w:rsidRDefault="001A44B5">
      <w:pPr>
        <w:pStyle w:val="Ttulo1"/>
      </w:pPr>
      <w:bookmarkStart w:id="1" w:name="_Toc243390813"/>
      <w:r>
        <w:lastRenderedPageBreak/>
        <w:t>2. Inventario</w:t>
      </w:r>
      <w:bookmarkEnd w:id="1"/>
    </w:p>
    <w:p w14:paraId="4812E65F" w14:textId="77777777" w:rsidR="00355BBF" w:rsidRDefault="001A44B5">
      <w:pPr>
        <w:spacing w:after="100" w:line="276" w:lineRule="auto"/>
      </w:pPr>
      <w:r>
        <w:rPr>
          <w:color w:val="526176"/>
          <w:sz w:val="18"/>
          <w:szCs w:val="18"/>
        </w:rPr>
        <w:t xml:space="preserve">Abreviaturas del sustento: </w:t>
      </w:r>
      <w:r>
        <w:rPr>
          <w:b/>
          <w:bCs/>
          <w:color w:val="526176"/>
          <w:sz w:val="18"/>
          <w:szCs w:val="18"/>
        </w:rPr>
        <w:t>B:</w:t>
      </w:r>
      <w:r>
        <w:rPr>
          <w:color w:val="526176"/>
          <w:sz w:val="18"/>
          <w:szCs w:val="18"/>
        </w:rPr>
        <w:t xml:space="preserve"> = </w:t>
      </w:r>
      <w:r>
        <w:rPr>
          <w:rFonts w:ascii="Consolas" w:eastAsia="Consolas" w:hAnsi="Consolas" w:cs="Consolas"/>
          <w:color w:val="526176"/>
          <w:sz w:val="16"/>
          <w:szCs w:val="16"/>
        </w:rPr>
        <w:t>backend/app/</w:t>
      </w:r>
      <w:r>
        <w:rPr>
          <w:color w:val="526176"/>
          <w:sz w:val="18"/>
          <w:szCs w:val="18"/>
        </w:rPr>
        <w:t xml:space="preserve">; </w:t>
      </w:r>
      <w:r>
        <w:rPr>
          <w:b/>
          <w:bCs/>
          <w:color w:val="526176"/>
          <w:sz w:val="18"/>
          <w:szCs w:val="18"/>
        </w:rPr>
        <w:t>F:</w:t>
      </w:r>
      <w:r>
        <w:rPr>
          <w:color w:val="526176"/>
          <w:sz w:val="18"/>
          <w:szCs w:val="18"/>
        </w:rPr>
        <w:t xml:space="preserve"> = </w:t>
      </w:r>
      <w:r>
        <w:rPr>
          <w:rFonts w:ascii="Consolas" w:eastAsia="Consolas" w:hAnsi="Consolas" w:cs="Consolas"/>
          <w:color w:val="526176"/>
          <w:sz w:val="16"/>
          <w:szCs w:val="16"/>
        </w:rPr>
        <w:t>frontend/src/</w:t>
      </w:r>
      <w:r>
        <w:rPr>
          <w:color w:val="526176"/>
          <w:sz w:val="18"/>
          <w:szCs w:val="18"/>
        </w:rPr>
        <w:t>. La columna Configuración muestra nombres de variables, nunca sus valores.</w:t>
      </w:r>
    </w:p>
    <w:p w14:paraId="181CA4F4" w14:textId="77777777" w:rsidR="00355BBF" w:rsidRDefault="001A44B5">
      <w:pPr>
        <w:pStyle w:val="Ttulo2"/>
      </w:pPr>
      <w:bookmarkStart w:id="2" w:name="_Toc243390814"/>
      <w:r>
        <w:t>Operativas</w:t>
      </w:r>
      <w:bookmarkEnd w:id="2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1521"/>
        <w:gridCol w:w="880"/>
        <w:gridCol w:w="2082"/>
        <w:gridCol w:w="1521"/>
        <w:gridCol w:w="1201"/>
        <w:gridCol w:w="1521"/>
        <w:gridCol w:w="1922"/>
        <w:gridCol w:w="2483"/>
      </w:tblGrid>
      <w:tr w:rsidR="00355BBF" w14:paraId="5DD52C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F0E156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0158A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Integración</w:t>
            </w:r>
          </w:p>
        </w:tc>
        <w:tc>
          <w:tcPr>
            <w:tcW w:w="88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B342F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08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1D6D21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Propósito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F04BA8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Protocolo / medio</w:t>
            </w:r>
          </w:p>
        </w:tc>
        <w:tc>
          <w:tcPr>
            <w:tcW w:w="120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93162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54011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Configuración</w:t>
            </w:r>
          </w:p>
        </w:tc>
        <w:tc>
          <w:tcPr>
            <w:tcW w:w="19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378F9D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24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D3FC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Observaciones</w:t>
            </w:r>
          </w:p>
        </w:tc>
      </w:tr>
      <w:tr w:rsidR="00355BBF" w14:paraId="35670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20ED3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I-01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8A86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Active Directory del SNM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A0457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95B0D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Validar la contraseña de los funcionarios; buscar personas para darlas de alta.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EBE7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LDAP (389). LDAPS (636) o StartTLS disponibles, apagados.</w:t>
            </w:r>
          </w:p>
        </w:tc>
        <w:tc>
          <w:tcPr>
            <w:tcW w:w="1201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CDAD34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 (sin TLS)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A72CA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LDAP_HOST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LDAP_PORT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LDAP_BASE_DN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LDAP_BIND_USER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LDAP_BIND_PASSWORD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LDAP_USAR_SSL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LDAP_STARTTLS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LDAP_CA_CERT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2937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core/ldap.py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domain/services/auth_service.py</w:t>
            </w:r>
            <w:r>
              <w:rPr>
                <w:sz w:val="17"/>
                <w:szCs w:val="17"/>
              </w:rPr>
              <w:t xml:space="preserve"> (_login_ad);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(buscar_en_ad)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0EFA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Solo se consulta por cuentas registradas y activas. Sin TLS la contraseña viaja en claro hasta el controlador de dominio (ver I-12). Si </w:t>
            </w:r>
            <w:r>
              <w:rPr>
                <w:sz w:val="17"/>
                <w:szCs w:val="17"/>
              </w:rPr>
              <w:t>no responde: 503.</w:t>
            </w:r>
          </w:p>
        </w:tc>
      </w:tr>
      <w:tr w:rsidR="00355BBF" w14:paraId="59A26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05D7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I-02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DF86C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Servidor de correo del SNM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2A8F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5893F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Avisos de cada paso: solicitud recibida o corregida, aprobada, devuelta, denegada y expirada.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1908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SMTP, puerto 25, sin TLS; usuario y contraseña opcionales.</w:t>
            </w:r>
          </w:p>
        </w:tc>
        <w:tc>
          <w:tcPr>
            <w:tcW w:w="1201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32393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 (requiere MAIL_HOST)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89AA3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MAIL_HOST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MAIL_PORT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MAIL_FROM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MAIL_FROM_NAME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MAIL_USERNAME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MAIL_PASSWORD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1500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core/email.py</w:t>
            </w:r>
            <w:r>
              <w:rPr>
                <w:sz w:val="17"/>
                <w:szCs w:val="17"/>
              </w:rPr>
              <w:t xml:space="preserve"> (enviar_aviso);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domain/services/notificacion_service.py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79183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Envío en segundo</w:t>
            </w:r>
            <w:r>
              <w:rPr>
                <w:sz w:val="17"/>
                <w:szCs w:val="17"/>
              </w:rPr>
              <w:t xml:space="preserve"> plano después de confirmar la operación. Si falla, se reintenta a los 30 s y a los 2 min; después queda en el log. Los reintentos viven en memoria (un reinicio los pierde). Sin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MAIL_HOST</w:t>
            </w:r>
            <w:r>
              <w:rPr>
                <w:sz w:val="17"/>
                <w:szCs w:val="17"/>
              </w:rPr>
              <w:t xml:space="preserve"> no se envía nada.</w:t>
            </w:r>
          </w:p>
        </w:tc>
      </w:tr>
      <w:tr w:rsidR="00355BBF" w14:paraId="04A76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F42AD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I-04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CB59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PostgreSQL 15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EB41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(mismo servidor)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FF176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Datos, catálogos, historial y bitácora.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32278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TCP local (contenedor); asyncpg.</w:t>
            </w:r>
          </w:p>
        </w:tc>
        <w:tc>
          <w:tcPr>
            <w:tcW w:w="1201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36712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5EF22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DATABASE_URL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POSTGRES_*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23E42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infrastructure/database.py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docker-compose-prod.yml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3E51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Puerto publicado solo en 127.0.0.1. Esquema por migraciones de Alembic.</w:t>
            </w:r>
          </w:p>
        </w:tc>
      </w:tr>
      <w:tr w:rsidR="00355BBF" w14:paraId="36F93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6EC14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I-05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FA8D1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Almacenamiento de documentos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38C0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(mismo servidor)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0A50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Archivos de los expedientes, una carpeta por solicitud.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68541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Sistema de archivos (volumen Docker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documentos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1201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6DC514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E4CE2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STORAGE_PATH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851E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infrastructure/almacenamiento.py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7B79B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Rutas relativas en la base de datos; respaldo con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backup.sh</w:t>
            </w:r>
            <w:r>
              <w:rPr>
                <w:sz w:val="17"/>
                <w:szCs w:val="17"/>
              </w:rPr>
              <w:t xml:space="preserve"> en el mismo servidor (ver I-13).</w:t>
            </w:r>
          </w:p>
        </w:tc>
      </w:tr>
      <w:tr w:rsidR="00355BBF" w14:paraId="186CA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1B1D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I-06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0167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Verificación pública del QR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B98A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Externa (terceros)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1BC69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Que una autoridad o un tercero compruebe que la autorización es auténtica y vigente.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9F324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HTTP: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/verificar/{código}</w:t>
            </w:r>
            <w:r>
              <w:rPr>
                <w:sz w:val="17"/>
                <w:szCs w:val="17"/>
              </w:rPr>
              <w:t xml:space="preserve"> (página) y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GET /api/v1/verificacion/{código}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1201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57AA73" w14:textId="77777777" w:rsidR="00355BBF" w:rsidRDefault="001A44B5">
            <w:r>
              <w:rPr>
                <w:b/>
                <w:bCs/>
                <w:color w:val="166534"/>
                <w:sz w:val="16"/>
                <w:szCs w:val="16"/>
              </w:rPr>
              <w:t>Operativa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2D884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APP_URL</w:t>
            </w:r>
            <w:r>
              <w:rPr>
                <w:sz w:val="17"/>
                <w:szCs w:val="17"/>
              </w:rPr>
              <w:t xml:space="preserve"> (dirección del QR),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LIMITE_VERIFICACIONES_POR_MINUTO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9188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api/v1/verificacion.py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core/pdf_autorizacion.py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modulos/solicitudes/PaginaVerificacion.tsx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E749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Sin sesión; datos mínimos y pasaporte enmascarado. </w:t>
            </w:r>
            <w:r>
              <w:rPr>
                <w:b/>
                <w:bCs/>
                <w:sz w:val="17"/>
                <w:szCs w:val="17"/>
              </w:rPr>
              <w:t>Validar</w:t>
            </w:r>
            <w:r>
              <w:rPr>
                <w:sz w:val="17"/>
                <w:szCs w:val="17"/>
              </w:rPr>
              <w:t xml:space="preserve"> quién verifica y desde qué red: si el servidor</w:t>
            </w:r>
            <w:r>
              <w:rPr>
                <w:sz w:val="17"/>
                <w:szCs w:val="17"/>
              </w:rPr>
              <w:t xml:space="preserve"> solo es accesible por la VPN o la intranet, un verificador externo no podrá abrir el enlace.</w:t>
            </w:r>
          </w:p>
        </w:tc>
      </w:tr>
    </w:tbl>
    <w:p w14:paraId="1AE3E0FE" w14:textId="77777777" w:rsidR="00355BBF" w:rsidRDefault="00355BBF">
      <w:pPr>
        <w:spacing w:after="140"/>
      </w:pPr>
    </w:p>
    <w:p w14:paraId="333B270C" w14:textId="77777777" w:rsidR="00355BBF" w:rsidRDefault="001A44B5">
      <w:pPr>
        <w:pStyle w:val="Ttulo2"/>
      </w:pPr>
      <w:bookmarkStart w:id="3" w:name="_Toc243390815"/>
      <w:r>
        <w:lastRenderedPageBreak/>
        <w:t>Parciales, no integradas y manuales</w:t>
      </w:r>
      <w:bookmarkEnd w:id="3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1521"/>
        <w:gridCol w:w="880"/>
        <w:gridCol w:w="2082"/>
        <w:gridCol w:w="1521"/>
        <w:gridCol w:w="1201"/>
        <w:gridCol w:w="1521"/>
        <w:gridCol w:w="1922"/>
        <w:gridCol w:w="2483"/>
      </w:tblGrid>
      <w:tr w:rsidR="00355BBF" w14:paraId="72FD97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5C8B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0291D1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Integración</w:t>
            </w:r>
          </w:p>
        </w:tc>
        <w:tc>
          <w:tcPr>
            <w:tcW w:w="88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A0B75A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08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6A28E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Propósito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B6F788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Protocolo / medio</w:t>
            </w:r>
          </w:p>
        </w:tc>
        <w:tc>
          <w:tcPr>
            <w:tcW w:w="120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2DCFE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4EC2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Configuración</w:t>
            </w:r>
          </w:p>
        </w:tc>
        <w:tc>
          <w:tcPr>
            <w:tcW w:w="19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840243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24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578E5F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Observaciones</w:t>
            </w:r>
          </w:p>
        </w:tc>
      </w:tr>
      <w:tr w:rsidR="00355BBF" w14:paraId="391D5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06E1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I-03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B27D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Buzón de UCVMM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B5312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2ADC1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Recibir el aviso de cada solicitud nueva o corregida.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B1AA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Correo (vía I-02).</w:t>
            </w:r>
          </w:p>
        </w:tc>
        <w:tc>
          <w:tcPr>
            <w:tcW w:w="1201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96117" w14:textId="77777777" w:rsidR="00355BBF" w:rsidRDefault="001A44B5">
            <w:r>
              <w:rPr>
                <w:b/>
                <w:bCs/>
                <w:color w:val="92400E"/>
                <w:sz w:val="16"/>
                <w:szCs w:val="16"/>
              </w:rPr>
              <w:t>Por configurar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E7796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CORREO_UCVMM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DE933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ServicioNotificacion._correos_ucvmm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2FAD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Vacío por defecto: sin él, UCVMM no recibe correos y depende de revisar su bandeja. </w:t>
            </w:r>
            <w:r>
              <w:rPr>
                <w:b/>
                <w:bCs/>
                <w:sz w:val="17"/>
                <w:szCs w:val="17"/>
              </w:rPr>
              <w:t>Validar</w:t>
            </w:r>
            <w:r>
              <w:rPr>
                <w:sz w:val="17"/>
                <w:szCs w:val="17"/>
              </w:rPr>
              <w:t xml:space="preserve"> el buzón con UCVMM.</w:t>
            </w:r>
          </w:p>
        </w:tc>
      </w:tr>
      <w:tr w:rsidR="00355BBF" w14:paraId="6F7E1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FBAC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I-07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7E454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SIMPLUS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4A9D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(otro sistema)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641F9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Verificar impedimentos de cada tripulante.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C4A6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Ninguno: UCVMM consulta SIMPLUS y marca el resultado a mano.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E4E5F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No integrada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151E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FD80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modulos/solicitudes/SeccionTripulantes.tsx</w:t>
            </w:r>
            <w:r>
              <w:rPr>
                <w:sz w:val="17"/>
                <w:szCs w:val="17"/>
              </w:rPr>
              <w:t>; 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F0E2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Riesgo de error al transcribir. Integrarlo requiere una interfaz de SIMPLUS (por definir con DTI).</w:t>
            </w:r>
          </w:p>
        </w:tc>
      </w:tr>
      <w:tr w:rsidR="00355BBF" w14:paraId="73185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D00F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I-08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BFA4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Operaciones (aviso de impedimento)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DE104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(área)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31F0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Informar a Operaciones cuando un tripulante tiene impedimento.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6A21F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Fuera del sistema; el modal de aprobar pide confirmarlo.</w:t>
            </w:r>
          </w:p>
        </w:tc>
        <w:tc>
          <w:tcPr>
            <w:tcW w:w="1201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A5D314" w14:textId="77777777" w:rsidR="00355BBF" w:rsidRDefault="001A44B5">
            <w:r>
              <w:rPr>
                <w:b/>
                <w:bCs/>
                <w:color w:val="526176"/>
                <w:sz w:val="16"/>
                <w:szCs w:val="16"/>
              </w:rPr>
              <w:t>Manual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F71A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7967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modulos/solicitudes/ModalDecision.tsx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33C2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No queda registro en ARGO NAVIS de que se informó. </w:t>
            </w:r>
            <w:r>
              <w:rPr>
                <w:b/>
                <w:bCs/>
                <w:sz w:val="17"/>
                <w:szCs w:val="17"/>
              </w:rPr>
              <w:t>Validar</w:t>
            </w:r>
            <w:r>
              <w:rPr>
                <w:sz w:val="17"/>
                <w:szCs w:val="17"/>
              </w:rPr>
              <w:t xml:space="preserve"> si debe registrarse o notificarse.</w:t>
            </w:r>
          </w:p>
        </w:tc>
      </w:tr>
      <w:tr w:rsidR="00355BBF" w14:paraId="74491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4638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I-09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AF13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Solicitud de Custodia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E45CD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(otro trámite)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97A3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Custodia de tripulantes de nacionalidad restringida.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637ED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Fuera del sistema; ARGO NAVIS solo avisa a la agencia (correo y PDF) en los 4 trámites con aviso.</w:t>
            </w:r>
          </w:p>
        </w:tc>
        <w:tc>
          <w:tcPr>
            <w:tcW w:w="1201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570D7" w14:textId="77777777" w:rsidR="00355BBF" w:rsidRDefault="001A44B5">
            <w:r>
              <w:rPr>
                <w:b/>
                <w:bCs/>
                <w:color w:val="526176"/>
                <w:sz w:val="16"/>
                <w:szCs w:val="16"/>
              </w:rPr>
              <w:t>Fuera del sistema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C6E29E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tipos_tramite.aviso_custodia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07A4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notificacion_service.aprobada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core/pdf_autorizacion.py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FB61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El documento de UCVMM dice que falta por levantar. No</w:t>
            </w:r>
            <w:r>
              <w:rPr>
                <w:sz w:val="17"/>
                <w:szCs w:val="17"/>
              </w:rPr>
              <w:t xml:space="preserve"> modelada.</w:t>
            </w:r>
          </w:p>
        </w:tc>
      </w:tr>
      <w:tr w:rsidR="00355BBF" w14:paraId="4B342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1C205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I-10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2049F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Solicitud de Transbordos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481F2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Interna (otro trámite)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F06E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Trámite de transbordos.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7FA6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DDCEA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No modelada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0F04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4D88A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80AB3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El documento de UCVMM dice que falta por levantar.</w:t>
            </w:r>
          </w:p>
        </w:tc>
      </w:tr>
    </w:tbl>
    <w:p w14:paraId="2B5236F3" w14:textId="77777777" w:rsidR="00355BBF" w:rsidRDefault="00355BBF">
      <w:pPr>
        <w:spacing w:after="140"/>
      </w:pPr>
    </w:p>
    <w:p w14:paraId="0C12D130" w14:textId="77777777" w:rsidR="00355BBF" w:rsidRDefault="001A44B5">
      <w:pPr>
        <w:pStyle w:val="Ttulo2"/>
      </w:pPr>
      <w:bookmarkStart w:id="4" w:name="_Toc243390816"/>
      <w:r>
        <w:t>Pendientes de infraestructura o decisión</w:t>
      </w:r>
      <w:bookmarkEnd w:id="4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1521"/>
        <w:gridCol w:w="880"/>
        <w:gridCol w:w="2082"/>
        <w:gridCol w:w="1521"/>
        <w:gridCol w:w="1201"/>
        <w:gridCol w:w="1521"/>
        <w:gridCol w:w="1922"/>
        <w:gridCol w:w="2483"/>
      </w:tblGrid>
      <w:tr w:rsidR="00355BBF" w14:paraId="557FEF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FC7CC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D0C12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Integración</w:t>
            </w:r>
          </w:p>
        </w:tc>
        <w:tc>
          <w:tcPr>
            <w:tcW w:w="88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8E485D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08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7AD9CC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Propósito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241EC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Protocolo / medio</w:t>
            </w:r>
          </w:p>
        </w:tc>
        <w:tc>
          <w:tcPr>
            <w:tcW w:w="120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7DA4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15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6D533F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Configuración</w:t>
            </w:r>
          </w:p>
        </w:tc>
        <w:tc>
          <w:tcPr>
            <w:tcW w:w="19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1F6AFC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24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809E2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Observaciones</w:t>
            </w:r>
          </w:p>
        </w:tc>
      </w:tr>
      <w:tr w:rsidR="00355BBF" w14:paraId="291CE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1D91F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I-11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6465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Certificado del servidor (HTTPS)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550A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2B58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Cifrar el tráfico del navegador.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A1C9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TLS en nginx (443) y redirección del 80.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77C19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0A5E5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frontend/nginx.conf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1921B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README → Producción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FA6BF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Hoy HTTP en el puerto 80: contraseñas y documentos viajan sin cifrar dentro de la red o la VPN.</w:t>
            </w:r>
          </w:p>
        </w:tc>
      </w:tr>
      <w:tr w:rsidR="00355BBF" w14:paraId="08925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0D73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I-12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E392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Certificado del controlador de dominio (LDAPS)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430F3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AA10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Cifrar la validación de contraseñas con el AD.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F0FF7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LDAPS 636 o StartTLS.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50AE3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FF8912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LDAP_USAR_SSL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LDAP_STARTTLS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LDAP_CA_CERT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A52E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core/ldap.py</w:t>
            </w:r>
            <w:r>
              <w:rPr>
                <w:sz w:val="17"/>
                <w:szCs w:val="17"/>
              </w:rPr>
              <w:t>; README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8A455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El código ya lo soporta; falta el certificado de la CA interna.</w:t>
            </w:r>
          </w:p>
        </w:tc>
      </w:tr>
      <w:tr w:rsidR="00355BBF" w14:paraId="2276E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DDE8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I-13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DF994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Respaldo fuera del servidor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7C203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AAADA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Proteger los respaldos ante la pérdida del disco.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5B5B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Copia a NAS o servidor de respaldos (scp/rsync).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A90E97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179EA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DIR_BACKUPS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RETENER_DIAS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EF5A7" w14:textId="77777777" w:rsidR="00355BBF" w:rsidRDefault="001A44B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backup.sh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2D3D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Hoy los respaldos diarios quedan en el mismo servidor.</w:t>
            </w:r>
          </w:p>
        </w:tc>
      </w:tr>
      <w:tr w:rsidR="00355BBF" w14:paraId="7E770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B34DD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I-14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BE2E3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Antivirus de archivos (ClamAV)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09AA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AA16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Analizar lo que suben las agencias.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4E11D4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Servicio clamd.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EDB11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 (decidido: por ahora no)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6E82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4025F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CLAUDE.md (pendiente 9)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4BBBF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Mitigado en parte: formato, contenido y macros se validan.</w:t>
            </w:r>
          </w:p>
        </w:tc>
      </w:tr>
      <w:tr w:rsidR="00355BBF" w14:paraId="3CA92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83134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I-15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87664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Segundo factor (TOTP) para agencias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6BA9A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Seguridad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5943A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Reforzar el inicio de sesión de las cuentas externas.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5A73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TOTP (aplicación de autenticación).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D273A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 (más adelante)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696A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ED33F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CLAUDE.md (pendiente 8)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AE96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Decidido para más adelante (16/10/2026).</w:t>
            </w:r>
          </w:p>
        </w:tc>
      </w:tr>
      <w:tr w:rsidR="00355BBF" w14:paraId="2426E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0C00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I-16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747DB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Redis para el límite de peticiones</w:t>
            </w:r>
          </w:p>
        </w:tc>
        <w:tc>
          <w:tcPr>
            <w:tcW w:w="88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81B9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7539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Compartir el límite entre varios procesos o servidores.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E724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Redis.</w:t>
            </w:r>
          </w:p>
        </w:tc>
        <w:tc>
          <w:tcPr>
            <w:tcW w:w="1201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A26D33" w14:textId="77777777" w:rsidR="00355BBF" w:rsidRDefault="001A44B5">
            <w:r>
              <w:rPr>
                <w:b/>
                <w:bCs/>
                <w:color w:val="B91C1C"/>
                <w:sz w:val="16"/>
                <w:szCs w:val="16"/>
              </w:rPr>
              <w:t>Pendiente (si se escala)</w:t>
            </w:r>
          </w:p>
        </w:tc>
        <w:tc>
          <w:tcPr>
            <w:tcW w:w="15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4416D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D23B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core/rate_limit.py</w:t>
            </w:r>
          </w:p>
        </w:tc>
        <w:tc>
          <w:tcPr>
            <w:tcW w:w="24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C0667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Hoy el límite vive en la memoria del proceso: correcto con un proceso (Docker); con varios, el límite se multiplica.</w:t>
            </w:r>
          </w:p>
        </w:tc>
      </w:tr>
      <w:tr w:rsidR="00355BBF" w14:paraId="7081C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AC50D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I-17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A6CAAE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VPN de las agencias</w:t>
            </w:r>
          </w:p>
        </w:tc>
        <w:tc>
          <w:tcPr>
            <w:tcW w:w="8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A6F5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Infraestructura</w:t>
            </w:r>
          </w:p>
        </w:tc>
        <w:tc>
          <w:tcPr>
            <w:tcW w:w="20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E5FA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Acceso de las agencias navieras (y funcionarios) al sistema.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B87DF5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VPN institucional.</w:t>
            </w:r>
          </w:p>
        </w:tc>
        <w:tc>
          <w:tcPr>
            <w:tcW w:w="1201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4F63F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Fuera del código</w:t>
            </w:r>
          </w:p>
        </w:tc>
        <w:tc>
          <w:tcPr>
            <w:tcW w:w="15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7AB5A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E554B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CLAUDE.md (endurecimiento)</w:t>
            </w:r>
          </w:p>
        </w:tc>
        <w:tc>
          <w:tcPr>
            <w:tcW w:w="24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EFD316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Las reglas de seguridad tratan a las agencias como no confiables aunque entren por la VPN. Confirmar con DTI su alcance y quién la administra.</w:t>
            </w:r>
          </w:p>
        </w:tc>
      </w:tr>
    </w:tbl>
    <w:p w14:paraId="3ED55677" w14:textId="77777777" w:rsidR="00355BBF" w:rsidRDefault="00355BBF">
      <w:pPr>
        <w:spacing w:line="20" w:lineRule="exact"/>
      </w:pPr>
    </w:p>
    <w:p w14:paraId="1962E714" w14:textId="77777777" w:rsidR="00355BBF" w:rsidRDefault="00355BBF">
      <w:pPr>
        <w:sectPr w:rsidR="00355BBF">
          <w:headerReference w:type="default" r:id="rId15"/>
          <w:footerReference w:type="default" r:id="rId16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0247A790" w14:textId="77777777" w:rsidR="00355BBF" w:rsidRDefault="001A44B5">
      <w:pPr>
        <w:pStyle w:val="Ttulo1"/>
      </w:pPr>
      <w:bookmarkStart w:id="5" w:name="_Toc243390817"/>
      <w:r>
        <w:lastRenderedPageBreak/>
        <w:t>3. Configuración necesaria para operar</w:t>
      </w:r>
      <w:bookmarkEnd w:id="5"/>
    </w:p>
    <w:p w14:paraId="11F3E2C2" w14:textId="77777777" w:rsidR="00355BBF" w:rsidRDefault="001A44B5">
      <w:pPr>
        <w:spacing w:after="100" w:line="276" w:lineRule="auto"/>
      </w:pPr>
      <w:r>
        <w:t>Para que las integraciones funcionen en producción hay que defini</w:t>
      </w:r>
      <w:r>
        <w:t xml:space="preserve">r en el </w:t>
      </w:r>
      <w:r>
        <w:rPr>
          <w:rFonts w:ascii="Consolas" w:eastAsia="Consolas" w:hAnsi="Consolas" w:cs="Consolas"/>
          <w:sz w:val="18"/>
          <w:szCs w:val="18"/>
        </w:rPr>
        <w:t>.env</w:t>
      </w:r>
      <w:r>
        <w:t xml:space="preserve"> del servidor (los valores no se documentan aquí):</w:t>
      </w:r>
    </w:p>
    <w:p w14:paraId="544EDCBB" w14:textId="77777777" w:rsidR="00355BBF" w:rsidRDefault="001A44B5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Active Directory: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LDAP_HOST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LDAP_BASE_DN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LDAP_BIND_USER</w:t>
      </w:r>
      <w:r>
        <w:t xml:space="preserve"> y </w:t>
      </w:r>
      <w:r>
        <w:rPr>
          <w:rFonts w:ascii="Consolas" w:eastAsia="Consolas" w:hAnsi="Consolas" w:cs="Consolas"/>
          <w:sz w:val="18"/>
          <w:szCs w:val="18"/>
        </w:rPr>
        <w:t>LDAP_BIND_PASSWORD</w:t>
      </w:r>
      <w:r>
        <w:t xml:space="preserve">; con el certificado, </w:t>
      </w:r>
      <w:r>
        <w:rPr>
          <w:rFonts w:ascii="Consolas" w:eastAsia="Consolas" w:hAnsi="Consolas" w:cs="Consolas"/>
          <w:sz w:val="18"/>
          <w:szCs w:val="18"/>
        </w:rPr>
        <w:t>LDAP_USAR_SSL</w:t>
      </w:r>
      <w:r>
        <w:t xml:space="preserve"> o </w:t>
      </w:r>
      <w:r>
        <w:rPr>
          <w:rFonts w:ascii="Consolas" w:eastAsia="Consolas" w:hAnsi="Consolas" w:cs="Consolas"/>
          <w:sz w:val="18"/>
          <w:szCs w:val="18"/>
        </w:rPr>
        <w:t>LDAP_STARTTLS</w:t>
      </w:r>
      <w:r>
        <w:t xml:space="preserve"> y </w:t>
      </w:r>
      <w:r>
        <w:rPr>
          <w:rFonts w:ascii="Consolas" w:eastAsia="Consolas" w:hAnsi="Consolas" w:cs="Consolas"/>
          <w:sz w:val="18"/>
          <w:szCs w:val="18"/>
        </w:rPr>
        <w:t>LDAP_CA_CERT</w:t>
      </w:r>
      <w:r>
        <w:t>.</w:t>
      </w:r>
    </w:p>
    <w:p w14:paraId="7076E1E0" w14:textId="77777777" w:rsidR="00355BBF" w:rsidRDefault="001A44B5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Correo: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MAIL_HOST</w:t>
      </w:r>
      <w:r>
        <w:t xml:space="preserve"> y </w:t>
      </w:r>
      <w:r>
        <w:rPr>
          <w:rFonts w:ascii="Consolas" w:eastAsia="Consolas" w:hAnsi="Consolas" w:cs="Consolas"/>
          <w:sz w:val="18"/>
          <w:szCs w:val="18"/>
        </w:rPr>
        <w:t>MAIL_FROM</w:t>
      </w:r>
      <w:r>
        <w:t xml:space="preserve">; </w:t>
      </w:r>
      <w:r>
        <w:rPr>
          <w:rFonts w:ascii="Consolas" w:eastAsia="Consolas" w:hAnsi="Consolas" w:cs="Consolas"/>
          <w:sz w:val="18"/>
          <w:szCs w:val="18"/>
        </w:rPr>
        <w:t>CORREO_UCVMM</w:t>
      </w:r>
      <w:r>
        <w:t xml:space="preserve"> para que UCVMM reciba los avisos.</w:t>
      </w:r>
    </w:p>
    <w:p w14:paraId="1BC43674" w14:textId="77777777" w:rsidR="00355BBF" w:rsidRDefault="001A44B5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Enlaces y QR: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APP_URL</w:t>
      </w:r>
      <w:r>
        <w:t xml:space="preserve"> con la dirección por la que usuarios y verificadores llegan al sistema.</w:t>
      </w:r>
    </w:p>
    <w:p w14:paraId="5169BF28" w14:textId="77777777" w:rsidR="00355BBF" w:rsidRDefault="001A44B5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Agencias: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PERMITIR_LOGIN_LOCAL=true</w:t>
      </w:r>
      <w:r>
        <w:t>. Sin esto, en producción solo entran las cuentas del AD (el valor por defecto e</w:t>
      </w:r>
      <w:r>
        <w:t xml:space="preserve">s </w:t>
      </w:r>
      <w:r>
        <w:rPr>
          <w:rFonts w:ascii="Consolas" w:eastAsia="Consolas" w:hAnsi="Consolas" w:cs="Consolas"/>
          <w:sz w:val="18"/>
          <w:szCs w:val="18"/>
        </w:rPr>
        <w:t>false</w:t>
      </w:r>
      <w:r>
        <w:t>).</w:t>
      </w:r>
    </w:p>
    <w:p w14:paraId="60D73227" w14:textId="77777777" w:rsidR="00355BBF" w:rsidRDefault="001A44B5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Freno del AD: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LOGIN_AD_MAX_FALLOS</w:t>
      </w:r>
      <w:r>
        <w:t xml:space="preserve"> y </w:t>
      </w:r>
      <w:r>
        <w:rPr>
          <w:rFonts w:ascii="Consolas" w:eastAsia="Consolas" w:hAnsi="Consolas" w:cs="Consolas"/>
          <w:sz w:val="18"/>
          <w:szCs w:val="18"/>
        </w:rPr>
        <w:t>LOGIN_AD_MINUTOS_ESPERA</w:t>
      </w:r>
      <w:r>
        <w:t xml:space="preserve"> según la política de bloqueo del dominio (TI).</w:t>
      </w:r>
    </w:p>
    <w:p w14:paraId="3AABED17" w14:textId="77777777" w:rsidR="00355BBF" w:rsidRDefault="00355BBF">
      <w:pPr>
        <w:spacing w:after="60"/>
      </w:pPr>
    </w:p>
    <w:p w14:paraId="70B36CE9" w14:textId="77777777" w:rsidR="00355BBF" w:rsidRDefault="001A44B5">
      <w:pPr>
        <w:pStyle w:val="Ttulo1"/>
      </w:pPr>
      <w:bookmarkStart w:id="6" w:name="_Toc243390818"/>
      <w:r>
        <w:t>4. Puntos a validar</w:t>
      </w:r>
      <w:bookmarkEnd w:id="6"/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3"/>
        <w:gridCol w:w="7566"/>
        <w:gridCol w:w="1833"/>
      </w:tblGrid>
      <w:tr w:rsidR="00355BBF" w14:paraId="58BE1B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661384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756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0785F3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Pregunta</w:t>
            </w:r>
          </w:p>
        </w:tc>
        <w:tc>
          <w:tcPr>
            <w:tcW w:w="183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AA6A55" w14:textId="77777777" w:rsidR="00355BBF" w:rsidRDefault="001A44B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 quién</w:t>
            </w:r>
          </w:p>
        </w:tc>
      </w:tr>
      <w:tr w:rsidR="00355BBF" w14:paraId="3116C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E97D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75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84B16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¿Qué buzón de UCVMM recibe los avisos de solicitudes nuevas y corregidas?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96BE7F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UCVMM</w:t>
            </w:r>
          </w:p>
        </w:tc>
      </w:tr>
      <w:tr w:rsidR="00355BBF" w14:paraId="6F7BE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15FFB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756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FBF7C7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¿Quiénes verifican el QR (autoridad portuaria, capitanía, otros) y desde qué red? Define si la verificación debe publicarse fuera de la VPN.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5D4DBC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UCVMM / DTI</w:t>
            </w:r>
          </w:p>
        </w:tc>
      </w:tr>
      <w:tr w:rsidR="00355BBF" w14:paraId="2CD28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6E67A2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75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A9AA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¿Debe quedar registro en ARGO NAVIS del aviso a Operaciones cuando hay impedimento?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CBD2F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UCVMM</w:t>
            </w:r>
          </w:p>
        </w:tc>
      </w:tr>
      <w:tr w:rsidR="00355BBF" w14:paraId="6D0CB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F3060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756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F8D19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¿Existe una interfaz de SIMPLUS para consultar impedimentos desde ARGO NAVIS?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54B0BB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DTI</w:t>
            </w:r>
          </w:p>
        </w:tc>
      </w:tr>
      <w:tr w:rsidR="00355BBF" w14:paraId="29E32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3691C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75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42791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¿El servidor de correo del SNM admite TLS (STARTTLS) para los avisos?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EE20F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DTI</w:t>
            </w:r>
          </w:p>
        </w:tc>
      </w:tr>
      <w:tr w:rsidR="00355BBF" w14:paraId="6966A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760F1D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756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E86A8" w14:textId="77777777" w:rsidR="00355BBF" w:rsidRDefault="001A44B5">
            <w:pPr>
              <w:spacing w:after="20" w:line="252" w:lineRule="auto"/>
            </w:pPr>
            <w:r>
              <w:rPr>
                <w:sz w:val="17"/>
                <w:szCs w:val="17"/>
              </w:rPr>
              <w:t>Fecha estimada de los certificados de HTTPS y del controlador de dominio.</w:t>
            </w:r>
          </w:p>
        </w:tc>
        <w:tc>
          <w:tcPr>
            <w:tcW w:w="183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09A92" w14:textId="77777777" w:rsidR="00355BBF" w:rsidRDefault="001A44B5">
            <w:r>
              <w:rPr>
                <w:b/>
                <w:bCs/>
                <w:color w:val="003DA5"/>
                <w:sz w:val="16"/>
                <w:szCs w:val="16"/>
              </w:rPr>
              <w:t>DTI</w:t>
            </w:r>
          </w:p>
        </w:tc>
      </w:tr>
    </w:tbl>
    <w:p w14:paraId="23310358" w14:textId="77777777" w:rsidR="00355BBF" w:rsidRDefault="00355BBF">
      <w:pPr>
        <w:spacing w:line="20" w:lineRule="exact"/>
      </w:pPr>
    </w:p>
    <w:sectPr w:rsidR="00355BBF">
      <w:headerReference w:type="default" r:id="rId17"/>
      <w:footerReference w:type="default" r:id="rId18"/>
      <w:pgSz w:w="12240" w:h="15840"/>
      <w:pgMar w:top="1134" w:right="1134" w:bottom="1134" w:left="1134" w:header="56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E14460" w14:textId="77777777" w:rsidR="00000000" w:rsidRDefault="001A44B5">
      <w:r>
        <w:separator/>
      </w:r>
    </w:p>
  </w:endnote>
  <w:endnote w:type="continuationSeparator" w:id="0">
    <w:p w14:paraId="32BA7FAF" w14:textId="77777777" w:rsidR="00000000" w:rsidRDefault="001A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D1942" w14:textId="77777777" w:rsidR="00355BBF" w:rsidRDefault="00355BB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E9BF3" w14:textId="77777777" w:rsidR="00355BBF" w:rsidRDefault="001A44B5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07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2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3</w:t>
    </w:r>
    <w:r>
      <w:rPr>
        <w:color w:val="526176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BF6EE" w14:textId="77777777" w:rsidR="00355BBF" w:rsidRDefault="001A44B5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07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4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5</w:t>
    </w:r>
    <w:r>
      <w:rPr>
        <w:color w:val="526176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AA1B0" w14:textId="77777777" w:rsidR="00355BBF" w:rsidRDefault="001A44B5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07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5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6</w:t>
    </w:r>
    <w:r>
      <w:rPr>
        <w:color w:val="526176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D31F3" w14:textId="77777777" w:rsidR="00355BBF" w:rsidRDefault="001A44B5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07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8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8</w:t>
    </w:r>
    <w:r>
      <w:rPr>
        <w:color w:val="52617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1BCB1" w14:textId="77777777" w:rsidR="00000000" w:rsidRDefault="001A44B5">
      <w:r>
        <w:separator/>
      </w:r>
    </w:p>
  </w:footnote>
  <w:footnote w:type="continuationSeparator" w:id="0">
    <w:p w14:paraId="3882BE32" w14:textId="77777777" w:rsidR="00000000" w:rsidRDefault="001A44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1E985" w14:textId="77777777" w:rsidR="00355BBF" w:rsidRDefault="00355BB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0AFDF" w14:textId="77777777" w:rsidR="00355BBF" w:rsidRDefault="001A44B5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4CF55231" wp14:editId="7A5F0826">
          <wp:extent cx="161925" cy="190500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07 · Inventario de integraciones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95A49" w14:textId="77777777" w:rsidR="00355BBF" w:rsidRDefault="001A44B5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2AC89EA7" wp14:editId="6D7B4874">
          <wp:extent cx="161925" cy="190500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</w:t>
    </w:r>
    <w:r>
      <w:rPr>
        <w:b/>
        <w:bCs/>
        <w:color w:val="10233F"/>
        <w:sz w:val="15"/>
        <w:szCs w:val="15"/>
      </w:rPr>
      <w:t>RACIÓN · ARGO NAVIS</w:t>
    </w:r>
    <w:r>
      <w:rPr>
        <w:color w:val="526176"/>
        <w:sz w:val="15"/>
        <w:szCs w:val="15"/>
      </w:rPr>
      <w:tab/>
      <w:t>07 · Inventario de integraciones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E929E" w14:textId="77777777" w:rsidR="00355BBF" w:rsidRDefault="001A44B5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2D97778A" wp14:editId="26D1A41A">
          <wp:extent cx="161925" cy="190500"/>
          <wp:effectExtent l="0" t="0" r="0" b="0"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07 · Inventario de integraciones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57740" w14:textId="77777777" w:rsidR="00355BBF" w:rsidRDefault="001A44B5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53915169" wp14:editId="08ED0C6E">
          <wp:extent cx="161925" cy="190500"/>
          <wp:effectExtent l="0" t="0" r="0" b="0"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07 · Inventario de integraciones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41D97"/>
    <w:multiLevelType w:val="hybridMultilevel"/>
    <w:tmpl w:val="E106485E"/>
    <w:lvl w:ilvl="0" w:tplc="C6F43728">
      <w:start w:val="1"/>
      <w:numFmt w:val="bullet"/>
      <w:lvlText w:val="•"/>
      <w:lvlJc w:val="left"/>
      <w:pPr>
        <w:ind w:left="360" w:hanging="240"/>
      </w:pPr>
    </w:lvl>
    <w:lvl w:ilvl="1" w:tplc="46162540">
      <w:numFmt w:val="decimal"/>
      <w:lvlText w:val=""/>
      <w:lvlJc w:val="left"/>
    </w:lvl>
    <w:lvl w:ilvl="2" w:tplc="70B686F4">
      <w:numFmt w:val="decimal"/>
      <w:lvlText w:val=""/>
      <w:lvlJc w:val="left"/>
    </w:lvl>
    <w:lvl w:ilvl="3" w:tplc="D8EA4742">
      <w:numFmt w:val="decimal"/>
      <w:lvlText w:val=""/>
      <w:lvlJc w:val="left"/>
    </w:lvl>
    <w:lvl w:ilvl="4" w:tplc="388E0A98">
      <w:numFmt w:val="decimal"/>
      <w:lvlText w:val=""/>
      <w:lvlJc w:val="left"/>
    </w:lvl>
    <w:lvl w:ilvl="5" w:tplc="ABCC5B92">
      <w:numFmt w:val="decimal"/>
      <w:lvlText w:val=""/>
      <w:lvlJc w:val="left"/>
    </w:lvl>
    <w:lvl w:ilvl="6" w:tplc="8C3AFA2E">
      <w:numFmt w:val="decimal"/>
      <w:lvlText w:val=""/>
      <w:lvlJc w:val="left"/>
    </w:lvl>
    <w:lvl w:ilvl="7" w:tplc="50204CDA">
      <w:numFmt w:val="decimal"/>
      <w:lvlText w:val=""/>
      <w:lvlJc w:val="left"/>
    </w:lvl>
    <w:lvl w:ilvl="8" w:tplc="B1823FFA">
      <w:numFmt w:val="decimal"/>
      <w:lvlText w:val=""/>
      <w:lvlJc w:val="left"/>
    </w:lvl>
  </w:abstractNum>
  <w:abstractNum w:abstractNumId="1" w15:restartNumberingAfterBreak="0">
    <w:nsid w:val="639D3B53"/>
    <w:multiLevelType w:val="hybridMultilevel"/>
    <w:tmpl w:val="4678F948"/>
    <w:lvl w:ilvl="0" w:tplc="CB0050D4">
      <w:start w:val="1"/>
      <w:numFmt w:val="bullet"/>
      <w:lvlText w:val="●"/>
      <w:lvlJc w:val="left"/>
      <w:pPr>
        <w:ind w:left="720" w:hanging="360"/>
      </w:pPr>
    </w:lvl>
    <w:lvl w:ilvl="1" w:tplc="4E581752">
      <w:start w:val="1"/>
      <w:numFmt w:val="bullet"/>
      <w:lvlText w:val="○"/>
      <w:lvlJc w:val="left"/>
      <w:pPr>
        <w:ind w:left="1440" w:hanging="360"/>
      </w:pPr>
    </w:lvl>
    <w:lvl w:ilvl="2" w:tplc="27404696">
      <w:start w:val="1"/>
      <w:numFmt w:val="bullet"/>
      <w:lvlText w:val="■"/>
      <w:lvlJc w:val="left"/>
      <w:pPr>
        <w:ind w:left="2160" w:hanging="360"/>
      </w:pPr>
    </w:lvl>
    <w:lvl w:ilvl="3" w:tplc="396C386C">
      <w:start w:val="1"/>
      <w:numFmt w:val="bullet"/>
      <w:lvlText w:val="●"/>
      <w:lvlJc w:val="left"/>
      <w:pPr>
        <w:ind w:left="2880" w:hanging="360"/>
      </w:pPr>
    </w:lvl>
    <w:lvl w:ilvl="4" w:tplc="0986A9F0">
      <w:start w:val="1"/>
      <w:numFmt w:val="bullet"/>
      <w:lvlText w:val="○"/>
      <w:lvlJc w:val="left"/>
      <w:pPr>
        <w:ind w:left="3600" w:hanging="360"/>
      </w:pPr>
    </w:lvl>
    <w:lvl w:ilvl="5" w:tplc="DE7838E0">
      <w:start w:val="1"/>
      <w:numFmt w:val="bullet"/>
      <w:lvlText w:val="■"/>
      <w:lvlJc w:val="left"/>
      <w:pPr>
        <w:ind w:left="4320" w:hanging="360"/>
      </w:pPr>
    </w:lvl>
    <w:lvl w:ilvl="6" w:tplc="6252763A">
      <w:start w:val="1"/>
      <w:numFmt w:val="bullet"/>
      <w:lvlText w:val="●"/>
      <w:lvlJc w:val="left"/>
      <w:pPr>
        <w:ind w:left="5040" w:hanging="360"/>
      </w:pPr>
    </w:lvl>
    <w:lvl w:ilvl="7" w:tplc="1EE827C6">
      <w:start w:val="1"/>
      <w:numFmt w:val="bullet"/>
      <w:lvlText w:val="●"/>
      <w:lvlJc w:val="left"/>
      <w:pPr>
        <w:ind w:left="5760" w:hanging="360"/>
      </w:pPr>
    </w:lvl>
    <w:lvl w:ilvl="8" w:tplc="1E4482E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BBF"/>
    <w:rsid w:val="001A44B5"/>
    <w:rsid w:val="0035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C0EF5"/>
  <w15:docId w15:val="{8496C136-14E8-4DB7-AB3E-3E25AE68C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7283E"/>
        <w:lang w:val="es-PA" w:eastAsia="es-P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F2C94C"/>
      </w:pBdr>
      <w:spacing w:before="300" w:after="160"/>
      <w:outlineLvl w:val="0"/>
    </w:pPr>
    <w:rPr>
      <w:b/>
      <w:bCs/>
      <w:color w:val="10233F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003DA5"/>
      <w:sz w:val="25"/>
      <w:szCs w:val="25"/>
    </w:rPr>
  </w:style>
  <w:style w:type="paragraph" w:styleId="Ttulo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uiPriority w:val="39"/>
    <w:pPr>
      <w:spacing w:before="140" w:after="40"/>
    </w:pPr>
    <w:rPr>
      <w:b/>
      <w:bCs/>
      <w:color w:val="10233F"/>
      <w:sz w:val="21"/>
      <w:szCs w:val="21"/>
    </w:rPr>
  </w:style>
  <w:style w:type="paragraph" w:styleId="TDC2">
    <w:name w:val="toc 2"/>
    <w:uiPriority w:val="39"/>
    <w:pPr>
      <w:spacing w:after="30"/>
      <w:ind w:left="36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1508</Words>
  <Characters>10498</Characters>
  <Application>Microsoft Office Word</Application>
  <DocSecurity>0</DocSecurity>
  <Lines>456</Lines>
  <Paragraphs>400</Paragraphs>
  <ScaleCrop>false</ScaleCrop>
  <Company/>
  <LinksUpToDate>false</LinksUpToDate>
  <CharactersWithSpaces>11606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07 Inventario de integraciones</dc:title>
  <dc:subject>Documentación funcional y técnica (línea base)</dc:subject>
  <dc:creator>ARGO NAVIS — equipo de desarrollo</dc:creator>
  <cp:keywords>ARGO NAVIS, NAVIS, SNM, UCVMM, Autorizaciones Marítimas</cp:keywords>
  <dc:description>Servicios internos y externos con los que ARGO NAVIS se comunica: operativos, simulados, manuales o pendientes</dc:description>
  <cp:lastModifiedBy>Víctor A. Pérez M.</cp:lastModifiedBy>
  <cp:revision>2</cp:revision>
  <dcterms:created xsi:type="dcterms:W3CDTF">2026-10-20T17:10:00Z</dcterms:created>
  <dcterms:modified xsi:type="dcterms:W3CDTF">2026-10-20T17:11:00Z</dcterms:modified>
</cp:coreProperties>
</file>