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E3CDC">
      <w:pPr>
        <w:jc w:val="center"/>
      </w:pPr>
      <w:r>
        <w:rPr>
          <w:rFonts w:ascii="Times New Roman" w:hAnsi="Times New Roman" w:eastAsia="黑体"/>
          <w:b/>
          <w:sz w:val="34"/>
        </w:rPr>
        <w:t>交通仿真实验报告（三）</w:t>
      </w:r>
    </w:p>
    <w:p w14:paraId="391C8CB9">
      <w:pPr>
        <w:jc w:val="center"/>
      </w:pPr>
      <w:r>
        <w:rPr>
          <w:rFonts w:ascii="Times New Roman" w:hAnsi="Times New Roman" w:eastAsia="楷体"/>
          <w:color w:val="404040"/>
          <w:sz w:val="22"/>
        </w:rPr>
        <w:t>——交通调控实验：匝道信号灯绿灯时间对交通运行的影响</w:t>
      </w:r>
    </w:p>
    <w:p w14:paraId="26DB538E">
      <w:pPr>
        <w:jc w:val="center"/>
        <w:rPr>
          <w:rFonts w:hint="default" w:eastAsia="宋体"/>
          <w:lang w:val="en-US" w:eastAsia="zh-CN"/>
        </w:rPr>
      </w:pPr>
      <w:r>
        <w:rPr>
          <w:rFonts w:eastAsia="宋体"/>
          <w:sz w:val="22"/>
        </w:rPr>
        <w:t>姓名：</w:t>
      </w:r>
      <w:r>
        <w:rPr>
          <w:rFonts w:hint="eastAsia"/>
          <w:sz w:val="22"/>
          <w:lang w:val="en-US" w:eastAsia="zh-CN"/>
        </w:rPr>
        <w:t>任雪蕊</w:t>
      </w:r>
      <w:r>
        <w:rPr>
          <w:rFonts w:eastAsia="宋体"/>
          <w:sz w:val="22"/>
        </w:rPr>
        <w:t>　　学号：</w:t>
      </w:r>
      <w:r>
        <w:rPr>
          <w:rFonts w:hint="eastAsia"/>
          <w:sz w:val="22"/>
          <w:lang w:val="en-US" w:eastAsia="zh-CN"/>
        </w:rPr>
        <w:t>23301046</w:t>
      </w:r>
      <w:r>
        <w:rPr>
          <w:rFonts w:eastAsia="宋体"/>
          <w:sz w:val="22"/>
        </w:rPr>
        <w:t>　日期：</w:t>
      </w:r>
      <w:r>
        <w:rPr>
          <w:rFonts w:hint="eastAsia"/>
          <w:sz w:val="22"/>
          <w:lang w:val="en-US" w:eastAsia="zh-CN"/>
        </w:rPr>
        <w:t>9.23</w:t>
      </w:r>
    </w:p>
    <w:p w14:paraId="5573A13C">
      <w:pPr>
        <w:pStyle w:val="3"/>
      </w:pPr>
      <w:r>
        <w:t>一、实验目的</w:t>
      </w:r>
      <w:bookmarkStart w:id="0" w:name="_GoBack"/>
      <w:bookmarkEnd w:id="0"/>
    </w:p>
    <w:p w14:paraId="0EFB82A1">
      <w:pPr>
        <w:ind w:firstLine="480"/>
      </w:pPr>
      <w:r>
        <w:rPr>
          <w:rFonts w:eastAsia="宋体"/>
          <w:b w:val="0"/>
        </w:rPr>
        <w:t>在实验二已经能够正常运行的 SUMO 仿真场景（高速公路 2 车道主线 + 匝道汇入）基础上，选择一个交通参数进行调整，观察其对交通运行的影响。我们选择作业给出的第一个示例参数：交通信号灯的绿灯时间。实验对象是匝道信号灯 RM——它控制匝道车流汇入主线的放行率，是高速公路管理中最典型的控制设施，也与实验二中 ALINEA 自适应控制使用的信号灯为同一处。</w:t>
      </w:r>
    </w:p>
    <w:p w14:paraId="08F19341">
      <w:pPr>
        <w:pStyle w:val="3"/>
      </w:pPr>
      <w:r>
        <w:t>二、实验环境</w:t>
      </w:r>
    </w:p>
    <w:p w14:paraId="1CF60408">
      <w:pPr>
        <w:ind w:firstLine="480"/>
      </w:pPr>
      <w:r>
        <w:rPr>
          <w:rFonts w:eastAsia="宋体"/>
          <w:b w:val="0"/>
        </w:rPr>
        <w:t>与实验二完全相同：Windows 64 位，SUMO 1.27.1，Python 3.12.5 + TUD-SUMO 3.3.2，固定随机种子保证可复现。实验场景直接复用实验二的路网与需求文件（同一 .net.xml 与 .rou.xml），保证两个实验的结果可以相互对照。</w:t>
      </w:r>
    </w:p>
    <w:p w14:paraId="66B1FBDF">
      <w:pPr>
        <w:pStyle w:val="3"/>
      </w:pPr>
      <w:r>
        <w:t>三、实验设计</w:t>
      </w:r>
    </w:p>
    <w:p w14:paraId="2B20DDB0">
      <w:pPr>
        <w:pStyle w:val="4"/>
      </w:pPr>
      <w:r>
        <w:t>3.1 调控参数与方案</w:t>
      </w:r>
    </w:p>
    <w:p w14:paraId="309E55EF">
      <w:pPr>
        <w:ind w:firstLine="480"/>
      </w:pPr>
      <w:r>
        <w:rPr>
          <w:rFonts w:eastAsia="宋体"/>
          <w:b w:val="0"/>
        </w:rPr>
        <w:t>控制变量：路网、交通需求（主线 1000→1500→1000 veh/h，匝道恒 500 veh/h）、仿真时长 2000 s、步长 0.5 s、随机种子 42 全部固定，唯一改变的变量是匝道信号灯的绿灯时间。设置三个方案：</w:t>
      </w:r>
    </w:p>
    <w:p w14:paraId="1B3E44F6">
      <w:pPr>
        <w:jc w:val="center"/>
      </w:pPr>
      <w:r>
        <w:rPr>
          <w:rFonts w:eastAsia="宋体"/>
          <w:b/>
          <w:sz w:val="21"/>
        </w:rPr>
        <w:t>表1　信号配时方案设计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A15C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D9E2F3"/>
          </w:tcPr>
          <w:p w14:paraId="41F422B2">
            <w:pPr>
              <w:spacing w:after="0" w:line="240" w:lineRule="auto"/>
              <w:jc w:val="center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w="1872" w:type="dxa"/>
            <w:shd w:val="clear" w:color="auto" w:fill="D9E2F3"/>
          </w:tcPr>
          <w:p w14:paraId="59558DA6">
            <w:pPr>
              <w:spacing w:after="0" w:line="240" w:lineRule="auto"/>
              <w:jc w:val="center"/>
            </w:pPr>
            <w:r>
              <w:rPr>
                <w:rFonts w:eastAsia="宋体"/>
                <w:b/>
                <w:sz w:val="21"/>
              </w:rPr>
              <w:t>绿 / 黄 / 红 (s)</w:t>
            </w:r>
          </w:p>
        </w:tc>
        <w:tc>
          <w:tcPr>
            <w:tcW w:w="1872" w:type="dxa"/>
            <w:shd w:val="clear" w:color="auto" w:fill="D9E2F3"/>
          </w:tcPr>
          <w:p w14:paraId="2F13DD4C">
            <w:pPr>
              <w:spacing w:after="0" w:line="240" w:lineRule="auto"/>
              <w:jc w:val="center"/>
            </w:pPr>
            <w:r>
              <w:rPr>
                <w:rFonts w:eastAsia="宋体"/>
                <w:b/>
                <w:sz w:val="21"/>
              </w:rPr>
              <w:t>周期 (s)</w:t>
            </w:r>
          </w:p>
        </w:tc>
        <w:tc>
          <w:tcPr>
            <w:tcW w:w="1872" w:type="dxa"/>
            <w:shd w:val="clear" w:color="auto" w:fill="D9E2F3"/>
          </w:tcPr>
          <w:p w14:paraId="7CA7EDAB">
            <w:pPr>
              <w:spacing w:after="0" w:line="240" w:lineRule="auto"/>
              <w:jc w:val="center"/>
            </w:pPr>
            <w:r>
              <w:rPr>
                <w:rFonts w:eastAsia="宋体"/>
                <w:b/>
                <w:sz w:val="21"/>
              </w:rPr>
              <w:t>放行能力估算 (veh/h)</w:t>
            </w:r>
          </w:p>
        </w:tc>
        <w:tc>
          <w:tcPr>
            <w:tcW w:w="1872" w:type="dxa"/>
            <w:shd w:val="clear" w:color="auto" w:fill="D9E2F3"/>
          </w:tcPr>
          <w:p w14:paraId="3A7038C4">
            <w:pPr>
              <w:spacing w:after="0" w:line="240" w:lineRule="auto"/>
              <w:jc w:val="center"/>
            </w:pPr>
            <w:r>
              <w:rPr>
                <w:rFonts w:eastAsia="宋体"/>
                <w:b/>
                <w:sz w:val="21"/>
              </w:rPr>
              <w:t>与匝道需求 500 的关系</w:t>
            </w:r>
          </w:p>
        </w:tc>
      </w:tr>
      <w:tr w14:paraId="64295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B10C198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方案0（调整前/基线）</w:t>
            </w:r>
          </w:p>
        </w:tc>
        <w:tc>
          <w:tcPr>
            <w:tcW w:w="1872" w:type="dxa"/>
          </w:tcPr>
          <w:p w14:paraId="73409F14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常绿</w:t>
            </w:r>
          </w:p>
        </w:tc>
        <w:tc>
          <w:tcPr>
            <w:tcW w:w="1872" w:type="dxa"/>
          </w:tcPr>
          <w:p w14:paraId="1A0762BB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—</w:t>
            </w:r>
          </w:p>
        </w:tc>
        <w:tc>
          <w:tcPr>
            <w:tcW w:w="1872" w:type="dxa"/>
          </w:tcPr>
          <w:p w14:paraId="14CF9138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不受限</w:t>
            </w:r>
          </w:p>
        </w:tc>
        <w:tc>
          <w:tcPr>
            <w:tcW w:w="1872" w:type="dxa"/>
          </w:tcPr>
          <w:p w14:paraId="232C79E5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—</w:t>
            </w:r>
          </w:p>
        </w:tc>
      </w:tr>
      <w:tr w14:paraId="0A9C8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037A821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方案A（调整后）</w:t>
            </w:r>
          </w:p>
        </w:tc>
        <w:tc>
          <w:tcPr>
            <w:tcW w:w="1872" w:type="dxa"/>
          </w:tcPr>
          <w:p w14:paraId="2313A3EA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2 / 1 / 7</w:t>
            </w:r>
          </w:p>
        </w:tc>
        <w:tc>
          <w:tcPr>
            <w:tcW w:w="1872" w:type="dxa"/>
          </w:tcPr>
          <w:p w14:paraId="46D02B8D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10</w:t>
            </w:r>
          </w:p>
        </w:tc>
        <w:tc>
          <w:tcPr>
            <w:tcW w:w="1872" w:type="dxa"/>
          </w:tcPr>
          <w:p w14:paraId="40FFAE86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≈ 360</w:t>
            </w:r>
          </w:p>
        </w:tc>
        <w:tc>
          <w:tcPr>
            <w:tcW w:w="1872" w:type="dxa"/>
          </w:tcPr>
          <w:p w14:paraId="050D1009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低于需求 → 排队累积</w:t>
            </w:r>
          </w:p>
        </w:tc>
      </w:tr>
      <w:tr w14:paraId="359D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860E749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方案B（调整后）</w:t>
            </w:r>
          </w:p>
        </w:tc>
        <w:tc>
          <w:tcPr>
            <w:tcW w:w="1872" w:type="dxa"/>
          </w:tcPr>
          <w:p w14:paraId="01AB1DDF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6 / 1 / 3</w:t>
            </w:r>
          </w:p>
        </w:tc>
        <w:tc>
          <w:tcPr>
            <w:tcW w:w="1872" w:type="dxa"/>
          </w:tcPr>
          <w:p w14:paraId="361F9505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10</w:t>
            </w:r>
          </w:p>
        </w:tc>
        <w:tc>
          <w:tcPr>
            <w:tcW w:w="1872" w:type="dxa"/>
          </w:tcPr>
          <w:p w14:paraId="6D93C29B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≈ 900</w:t>
            </w:r>
          </w:p>
        </w:tc>
        <w:tc>
          <w:tcPr>
            <w:tcW w:w="1872" w:type="dxa"/>
          </w:tcPr>
          <w:p w14:paraId="21CDD8E3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高于需求 → 基本无排队</w:t>
            </w:r>
          </w:p>
        </w:tc>
      </w:tr>
    </w:tbl>
    <w:p w14:paraId="3B27B6EA"/>
    <w:p w14:paraId="3D730793">
      <w:pPr>
        <w:ind w:firstLine="480"/>
      </w:pPr>
      <w:r>
        <w:rPr>
          <w:rFonts w:eastAsia="宋体"/>
          <w:b w:val="0"/>
        </w:rPr>
        <w:t>放行能力的估算方法：车辆从停止线静止起步约有 2 s 起步损失，之后以约 2 s 饱和车头时距放行，因此一个周期内约能放行 max(1, (G−2)/2 + 1) 辆车，除以周期长度即得小时流率。方案A 每周期只能放行 1 辆（2.5 s 绿灯不足以放行第二辆），约 360 veh/h，故意设计为低于需求，用于观察排队累积；方案B 每周期约放行 2~3 辆，约 900 veh/h，高于需求，用于观察排队消散。</w:t>
      </w:r>
    </w:p>
    <w:p w14:paraId="1D94D752">
      <w:pPr>
        <w:pStyle w:val="4"/>
      </w:pPr>
      <w:r>
        <w:t>3.2 实验实现</w:t>
      </w:r>
    </w:p>
    <w:p w14:paraId="56C0FEA4">
      <w:pPr>
        <w:ind w:firstLine="480"/>
      </w:pPr>
      <w:r>
        <w:rPr>
          <w:rFonts w:eastAsia="宋体"/>
          <w:b w:val="0"/>
        </w:rPr>
        <w:t>三种方案的信号配时分别写在 plans/ 目录的三个附加文件中。实验主脚本 run_experiment.py 依次启动三次仿真，每次在仿真启动后通过 TUD-SUMO 的 set_phases() 经 TraCI 把对应方案动态写入信号灯，然后跟踪匝道与主线四条边、跑完 4000 步、保存全部数据。三种方案除了配时外的一切条件完全相同，因此结果差异可以完全归因于绿灯时间。运行命令：python run_experiment.py。若要在 GUI 中直观观看，可执行 sumo-gui -c scenario\sim.sumocfg -a plans\planA_short_green.add.xml --start。</w:t>
      </w:r>
    </w:p>
    <w:p w14:paraId="6029658D">
      <w:pPr>
        <w:pStyle w:val="3"/>
      </w:pPr>
      <w:r>
        <w:t>四、实验结果</w:t>
      </w:r>
    </w:p>
    <w:p w14:paraId="036CF9D0">
      <w:pPr>
        <w:pStyle w:val="4"/>
      </w:pPr>
      <w:r>
        <w:t>4.1 指标对比</w:t>
      </w:r>
    </w:p>
    <w:p w14:paraId="7A13938D">
      <w:pPr>
        <w:jc w:val="center"/>
      </w:pPr>
      <w:r>
        <w:rPr>
          <w:rFonts w:eastAsia="宋体"/>
          <w:b/>
          <w:sz w:val="21"/>
        </w:rPr>
        <w:t>表2　三种信号方案运行结果对比（同一需求、同一随机种子）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708B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D9E2F3"/>
          </w:tcPr>
          <w:p w14:paraId="6145D88C">
            <w:pPr>
              <w:spacing w:after="0" w:line="240" w:lineRule="auto"/>
              <w:jc w:val="center"/>
            </w:pPr>
            <w:r>
              <w:rPr>
                <w:rFonts w:eastAsia="宋体"/>
                <w:b/>
                <w:sz w:val="21"/>
              </w:rPr>
              <w:t>指标</w:t>
            </w:r>
          </w:p>
        </w:tc>
        <w:tc>
          <w:tcPr>
            <w:tcW w:w="2340" w:type="dxa"/>
            <w:shd w:val="clear" w:color="auto" w:fill="D9E2F3"/>
          </w:tcPr>
          <w:p w14:paraId="56DBC9F0">
            <w:pPr>
              <w:spacing w:after="0" w:line="240" w:lineRule="auto"/>
              <w:jc w:val="center"/>
            </w:pPr>
            <w:r>
              <w:rPr>
                <w:rFonts w:eastAsia="宋体"/>
                <w:b/>
                <w:sz w:val="21"/>
              </w:rPr>
              <w:t>方案0 常绿（基线）</w:t>
            </w:r>
          </w:p>
        </w:tc>
        <w:tc>
          <w:tcPr>
            <w:tcW w:w="2340" w:type="dxa"/>
            <w:shd w:val="clear" w:color="auto" w:fill="D9E2F3"/>
          </w:tcPr>
          <w:p w14:paraId="03C34411">
            <w:pPr>
              <w:spacing w:after="0" w:line="240" w:lineRule="auto"/>
              <w:jc w:val="center"/>
            </w:pPr>
            <w:r>
              <w:rPr>
                <w:rFonts w:eastAsia="宋体"/>
                <w:b/>
                <w:sz w:val="21"/>
              </w:rPr>
              <w:t>方案A 短绿灯</w:t>
            </w:r>
          </w:p>
        </w:tc>
        <w:tc>
          <w:tcPr>
            <w:tcW w:w="2340" w:type="dxa"/>
            <w:shd w:val="clear" w:color="auto" w:fill="D9E2F3"/>
          </w:tcPr>
          <w:p w14:paraId="53410CDE">
            <w:pPr>
              <w:spacing w:after="0" w:line="240" w:lineRule="auto"/>
              <w:jc w:val="center"/>
            </w:pPr>
            <w:r>
              <w:rPr>
                <w:rFonts w:eastAsia="宋体"/>
                <w:b/>
                <w:sz w:val="21"/>
              </w:rPr>
              <w:t>方案B 长绿灯</w:t>
            </w:r>
          </w:p>
        </w:tc>
      </w:tr>
      <w:tr w14:paraId="3588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880845B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完成行程车辆数（辆）</w:t>
            </w:r>
          </w:p>
        </w:tc>
        <w:tc>
          <w:tcPr>
            <w:tcW w:w="2340" w:type="dxa"/>
          </w:tcPr>
          <w:p w14:paraId="773CE6F9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968</w:t>
            </w:r>
          </w:p>
        </w:tc>
        <w:tc>
          <w:tcPr>
            <w:tcW w:w="2340" w:type="dxa"/>
          </w:tcPr>
          <w:p w14:paraId="100A69E2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894</w:t>
            </w:r>
          </w:p>
        </w:tc>
        <w:tc>
          <w:tcPr>
            <w:tcW w:w="2340" w:type="dxa"/>
          </w:tcPr>
          <w:p w14:paraId="4D117156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968</w:t>
            </w:r>
          </w:p>
        </w:tc>
      </w:tr>
      <w:tr w14:paraId="1DDBF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0F0B31C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仿真结束时未完成（辆）</w:t>
            </w:r>
          </w:p>
        </w:tc>
        <w:tc>
          <w:tcPr>
            <w:tcW w:w="2340" w:type="dxa"/>
          </w:tcPr>
          <w:p w14:paraId="5FA0FE57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33</w:t>
            </w:r>
          </w:p>
        </w:tc>
        <w:tc>
          <w:tcPr>
            <w:tcW w:w="2340" w:type="dxa"/>
          </w:tcPr>
          <w:p w14:paraId="307E46E7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76</w:t>
            </w:r>
          </w:p>
        </w:tc>
        <w:tc>
          <w:tcPr>
            <w:tcW w:w="2340" w:type="dxa"/>
          </w:tcPr>
          <w:p w14:paraId="6FFBB518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33</w:t>
            </w:r>
          </w:p>
        </w:tc>
      </w:tr>
      <w:tr w14:paraId="76C7F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40789C1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匝道车辆完成数（辆）</w:t>
            </w:r>
          </w:p>
        </w:tc>
        <w:tc>
          <w:tcPr>
            <w:tcW w:w="2340" w:type="dxa"/>
          </w:tcPr>
          <w:p w14:paraId="70A7DC71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266</w:t>
            </w:r>
          </w:p>
        </w:tc>
        <w:tc>
          <w:tcPr>
            <w:tcW w:w="2340" w:type="dxa"/>
          </w:tcPr>
          <w:p w14:paraId="249F5165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192</w:t>
            </w:r>
          </w:p>
        </w:tc>
        <w:tc>
          <w:tcPr>
            <w:tcW w:w="2340" w:type="dxa"/>
          </w:tcPr>
          <w:p w14:paraId="57D2EB90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266</w:t>
            </w:r>
          </w:p>
        </w:tc>
      </w:tr>
      <w:tr w14:paraId="656BB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39084C3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匝道车辆未完成数（辆）</w:t>
            </w:r>
          </w:p>
        </w:tc>
        <w:tc>
          <w:tcPr>
            <w:tcW w:w="2340" w:type="dxa"/>
          </w:tcPr>
          <w:p w14:paraId="265C7919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12</w:t>
            </w:r>
          </w:p>
        </w:tc>
        <w:tc>
          <w:tcPr>
            <w:tcW w:w="2340" w:type="dxa"/>
          </w:tcPr>
          <w:p w14:paraId="3E5A3027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55</w:t>
            </w:r>
          </w:p>
        </w:tc>
        <w:tc>
          <w:tcPr>
            <w:tcW w:w="2340" w:type="dxa"/>
          </w:tcPr>
          <w:p w14:paraId="639D99AF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12</w:t>
            </w:r>
          </w:p>
        </w:tc>
      </w:tr>
      <w:tr w14:paraId="53D29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9543509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匝道车辆平均行程时间（s）</w:t>
            </w:r>
          </w:p>
        </w:tc>
        <w:tc>
          <w:tcPr>
            <w:tcW w:w="2340" w:type="dxa"/>
          </w:tcPr>
          <w:p w14:paraId="571D04FC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168.3</w:t>
            </w:r>
          </w:p>
        </w:tc>
        <w:tc>
          <w:tcPr>
            <w:tcW w:w="2340" w:type="dxa"/>
          </w:tcPr>
          <w:p w14:paraId="1000105D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706.8</w:t>
            </w:r>
          </w:p>
        </w:tc>
        <w:tc>
          <w:tcPr>
            <w:tcW w:w="2340" w:type="dxa"/>
          </w:tcPr>
          <w:p w14:paraId="4456348B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173.5</w:t>
            </w:r>
          </w:p>
        </w:tc>
      </w:tr>
      <w:tr w14:paraId="2A34A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D53E080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主线车辆平均行程时间（s）</w:t>
            </w:r>
          </w:p>
        </w:tc>
        <w:tc>
          <w:tcPr>
            <w:tcW w:w="2340" w:type="dxa"/>
          </w:tcPr>
          <w:p w14:paraId="1D7C1514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159.0</w:t>
            </w:r>
          </w:p>
        </w:tc>
        <w:tc>
          <w:tcPr>
            <w:tcW w:w="2340" w:type="dxa"/>
          </w:tcPr>
          <w:p w14:paraId="39B6FFDD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158.8</w:t>
            </w:r>
          </w:p>
        </w:tc>
        <w:tc>
          <w:tcPr>
            <w:tcW w:w="2340" w:type="dxa"/>
          </w:tcPr>
          <w:p w14:paraId="2E656A48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158.9</w:t>
            </w:r>
          </w:p>
        </w:tc>
      </w:tr>
      <w:tr w14:paraId="65040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16786DE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全网总等待时间（s）</w:t>
            </w:r>
          </w:p>
        </w:tc>
        <w:tc>
          <w:tcPr>
            <w:tcW w:w="2340" w:type="dxa"/>
          </w:tcPr>
          <w:p w14:paraId="5253FECD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0</w:t>
            </w:r>
          </w:p>
        </w:tc>
        <w:tc>
          <w:tcPr>
            <w:tcW w:w="2340" w:type="dxa"/>
          </w:tcPr>
          <w:p w14:paraId="3AE9690C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881</w:t>
            </w:r>
          </w:p>
        </w:tc>
        <w:tc>
          <w:tcPr>
            <w:tcW w:w="2340" w:type="dxa"/>
          </w:tcPr>
          <w:p w14:paraId="215F4C4C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40</w:t>
            </w:r>
          </w:p>
        </w:tc>
      </w:tr>
      <w:tr w14:paraId="659D9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17D9F84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全网总延误（s）</w:t>
            </w:r>
          </w:p>
        </w:tc>
        <w:tc>
          <w:tcPr>
            <w:tcW w:w="2340" w:type="dxa"/>
          </w:tcPr>
          <w:p w14:paraId="119AA8AE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3992</w:t>
            </w:r>
          </w:p>
        </w:tc>
        <w:tc>
          <w:tcPr>
            <w:tcW w:w="2340" w:type="dxa"/>
          </w:tcPr>
          <w:p w14:paraId="14AFE2C1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69570</w:t>
            </w:r>
          </w:p>
        </w:tc>
        <w:tc>
          <w:tcPr>
            <w:tcW w:w="2340" w:type="dxa"/>
          </w:tcPr>
          <w:p w14:paraId="667839DE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4673</w:t>
            </w:r>
          </w:p>
        </w:tc>
      </w:tr>
    </w:tbl>
    <w:p w14:paraId="5DD916B8"/>
    <w:p w14:paraId="7EDCDF7C">
      <w:pPr>
        <w:pStyle w:val="4"/>
      </w:pPr>
      <w:r>
        <w:t>4.2 对比图</w:t>
      </w:r>
    </w:p>
    <w:p w14:paraId="5C464375">
      <w:pPr>
        <w:jc w:val="center"/>
      </w:pPr>
      <w:r>
        <w:drawing>
          <wp:inline distT="0" distB="0" distL="114300" distR="114300">
            <wp:extent cx="5577840" cy="3646805"/>
            <wp:effectExtent l="0" t="0" r="1016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4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4878">
      <w:pPr>
        <w:jc w:val="center"/>
      </w:pPr>
      <w:r>
        <w:rPr>
          <w:rFonts w:eastAsia="宋体"/>
          <w:b/>
          <w:sz w:val="21"/>
        </w:rPr>
        <w:t>图1　三种绿灯时间方案的四项指标对比（数据来自三次实际仿真）</w:t>
      </w:r>
    </w:p>
    <w:p w14:paraId="066AF134">
      <w:pPr>
        <w:pStyle w:val="4"/>
      </w:pPr>
      <w:r>
        <w:t>4.3 结果分析</w:t>
      </w:r>
    </w:p>
    <w:p w14:paraId="06DE925B">
      <w:pPr>
        <w:ind w:firstLine="480"/>
      </w:pPr>
      <w:r>
        <w:rPr>
          <w:rFonts w:eastAsia="宋体"/>
          <w:b w:val="0"/>
        </w:rPr>
        <w:t>匝道排队规模（图a）：方案A 的匝道在车数从约 300 s 起以近似恒定的速率线性上升——这正是放行能力（360 veh/h）与需求（500 veh/h）之间 140 veh/h 缺口的直观体现；到约 1200 s 排队回溢至匝道入口，新车无法进入路网，曲线在 50 辆附近饱和。方案0 与方案B 全程只有 0~7 辆的正常波动，二者几乎重合。</w:t>
      </w:r>
    </w:p>
    <w:p w14:paraId="368C8E34">
      <w:pPr>
        <w:ind w:firstLine="480"/>
      </w:pPr>
      <w:r>
        <w:rPr>
          <w:rFonts w:eastAsia="宋体"/>
          <w:b w:val="0"/>
        </w:rPr>
        <w:t>主线运行状态（图b）：三种方案下汇入段平均速度曲线基本重合（约 110~120 km/h），说明本场景中主线总需求（峰值 2000 veh/h）远低于 3 车道通行能力，且方案A 的排队被限制在匝道内，未波及主线——三种方案的主线车辆平均行程时间也几乎相同（158.8~159.0 s，表2）。</w:t>
      </w:r>
    </w:p>
    <w:p w14:paraId="6D6A2F06">
      <w:pPr>
        <w:ind w:firstLine="480"/>
      </w:pPr>
      <w:r>
        <w:rPr>
          <w:rFonts w:eastAsia="宋体"/>
          <w:b w:val="0"/>
        </w:rPr>
        <w:t>行程时间与完成车辆数（图c、d）：方案A 的匝道车辆平均行程时间达到 706.8 s，是基线（168.3 s）的 4.2 倍；全网总延误从 3992 s 恶化到 69570 s，约 17 倍。同时由于排队回溢阻断插入，55 辆匝道车到仿真结束仍未能完成行程，全网完成车辆数从 968 降至 894。方案B 相比基线各项指标几乎不变，仅因红绿灯停等引入了极少量额外延误（总延误 4673 s vs 3992 s，匝道行程时间 173.5 s vs 168.3 s）。</w:t>
      </w:r>
    </w:p>
    <w:p w14:paraId="40ACF139">
      <w:pPr>
        <w:pStyle w:val="3"/>
      </w:pPr>
      <w:r>
        <w:t>五、结论</w:t>
      </w:r>
    </w:p>
    <w:p w14:paraId="7870C1F8">
      <w:pPr>
        <w:ind w:firstLine="480"/>
      </w:pPr>
      <w:r>
        <w:rPr>
          <w:rFonts w:eastAsia="宋体"/>
          <w:b w:val="0"/>
        </w:rPr>
        <w:t>第一，绿灯时间决定了匝道的放行能力，必须与到达需求匹配。放行能力低于需求时，排队以（需求−放行能力）的速率持续累积并最终回溢阻断整条匝道，车辆延误成倍增长；本实验中 140 veh/h 的缺口在 2000 s 内即造成全网总延误 17 倍的恶化。</w:t>
      </w:r>
    </w:p>
    <w:p w14:paraId="7F889C5D">
      <w:pPr>
        <w:ind w:firstLine="480"/>
      </w:pPr>
      <w:r>
        <w:rPr>
          <w:rFonts w:eastAsia="宋体"/>
          <w:b w:val="0"/>
        </w:rPr>
        <w:t>第二，绿灯时间并非越长越好。放行能力一旦高于需求（方案B），继续延长绿灯不再产生收益，反而因信号灯本身的停等引入少量额外延误——控制是有代价的，无需求时不应控制。</w:t>
      </w:r>
    </w:p>
    <w:p w14:paraId="2C349A72">
      <w:pPr>
        <w:ind w:firstLine="480"/>
      </w:pPr>
      <w:r>
        <w:rPr>
          <w:rFonts w:eastAsia="宋体"/>
          <w:b w:val="0"/>
        </w:rPr>
        <w:t>第三，信号控制的影响具有针对性。三种方案下主线运行状态几乎不变，代价全部由匝道车流承担；可以推断，只有当主线接近饱和时，压缩匝道绿灯以保护主线的收益才会显现——这正解释了实验二中 ALINEA 自适应控制存在的意义：它按下游占用率实时调节放行率，让控制的代价与收益自动匹配。两个实验相互印证，说明了固定配时控制与反馈控制在适用场景上的本质区别。</w:t>
      </w:r>
    </w:p>
    <w:p w14:paraId="2959F34A">
      <w:pPr>
        <w:pStyle w:val="3"/>
      </w:pPr>
      <w:r>
        <w:t>六、附件清单</w:t>
      </w:r>
    </w:p>
    <w:p w14:paraId="36E47123">
      <w:pPr>
        <w:jc w:val="center"/>
      </w:pPr>
      <w:r>
        <w:rPr>
          <w:rFonts w:eastAsia="宋体"/>
          <w:b/>
          <w:sz w:val="21"/>
        </w:rPr>
        <w:t>表3　提交文件清单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B6AD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D9E2F3"/>
          </w:tcPr>
          <w:p w14:paraId="19B25E3F">
            <w:pPr>
              <w:spacing w:after="0" w:line="240" w:lineRule="auto"/>
              <w:jc w:val="center"/>
            </w:pPr>
            <w:r>
              <w:rPr>
                <w:rFonts w:eastAsia="宋体"/>
                <w:b/>
                <w:sz w:val="21"/>
              </w:rPr>
              <w:t>文件</w:t>
            </w:r>
          </w:p>
        </w:tc>
        <w:tc>
          <w:tcPr>
            <w:tcW w:w="4680" w:type="dxa"/>
            <w:shd w:val="clear" w:color="auto" w:fill="D9E2F3"/>
          </w:tcPr>
          <w:p w14:paraId="38E712CE">
            <w:pPr>
              <w:spacing w:after="0" w:line="240" w:lineRule="auto"/>
              <w:jc w:val="center"/>
            </w:pPr>
            <w:r>
              <w:rPr>
                <w:rFonts w:eastAsia="宋体"/>
                <w:b/>
                <w:sz w:val="21"/>
              </w:rPr>
              <w:t>内容</w:t>
            </w:r>
          </w:p>
        </w:tc>
      </w:tr>
      <w:tr w14:paraId="27748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C0D327B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run_experiment.py</w:t>
            </w:r>
          </w:p>
        </w:tc>
        <w:tc>
          <w:tcPr>
            <w:tcW w:w="4680" w:type="dxa"/>
          </w:tcPr>
          <w:p w14:paraId="2080CBF5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实验主脚本：三方案依序运行（TraCI 写入信号方案）+ 指标汇总 + 绘图</w:t>
            </w:r>
          </w:p>
        </w:tc>
      </w:tr>
      <w:tr w14:paraId="4170A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BCBAF58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plans/plan0_free.add.xml 等 3 个文件</w:t>
            </w:r>
          </w:p>
        </w:tc>
        <w:tc>
          <w:tcPr>
            <w:tcW w:w="4680" w:type="dxa"/>
          </w:tcPr>
          <w:p w14:paraId="7DD6CC20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三种信号方案定义（GUI 运行时以 -a 挂载）</w:t>
            </w:r>
          </w:p>
        </w:tc>
      </w:tr>
      <w:tr w14:paraId="3E480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6A45C16D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scenario/</w:t>
            </w:r>
          </w:p>
        </w:tc>
        <w:tc>
          <w:tcPr>
            <w:tcW w:w="4680" w:type="dxa"/>
          </w:tcPr>
          <w:p w14:paraId="4B43C8BD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实验场景（与实验二同路网同需求）</w:t>
            </w:r>
          </w:p>
        </w:tc>
      </w:tr>
      <w:tr w14:paraId="3B569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ADDF8E5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outputs/对比汇总.csv</w:t>
            </w:r>
          </w:p>
        </w:tc>
        <w:tc>
          <w:tcPr>
            <w:tcW w:w="4680" w:type="dxa"/>
          </w:tcPr>
          <w:p w14:paraId="38531B68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三方案全部指标对比表</w:t>
            </w:r>
          </w:p>
        </w:tc>
      </w:tr>
      <w:tr w14:paraId="0C471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367289F0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outputs/对比图_绿灯时间实验.png</w:t>
            </w:r>
          </w:p>
        </w:tc>
        <w:tc>
          <w:tcPr>
            <w:tcW w:w="4680" w:type="dxa"/>
          </w:tcPr>
          <w:p w14:paraId="6FFDBAD8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四联对比图</w:t>
            </w:r>
          </w:p>
        </w:tc>
      </w:tr>
      <w:tr w14:paraId="3D7F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4D2D018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outputs/匝道排队曲线.csv</w:t>
            </w:r>
          </w:p>
        </w:tc>
        <w:tc>
          <w:tcPr>
            <w:tcW w:w="4680" w:type="dxa"/>
          </w:tcPr>
          <w:p w14:paraId="32CBDC42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匝道在车数随时间变化的原始数据</w:t>
            </w:r>
          </w:p>
        </w:tc>
      </w:tr>
      <w:tr w14:paraId="78A90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7751E43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outputs/plan*_sim_data.json</w:t>
            </w:r>
          </w:p>
        </w:tc>
        <w:tc>
          <w:tcPr>
            <w:tcW w:w="4680" w:type="dxa"/>
          </w:tcPr>
          <w:p w14:paraId="7ACC6E5F">
            <w:pPr>
              <w:spacing w:after="0" w:line="240" w:lineRule="auto"/>
              <w:jc w:val="center"/>
            </w:pPr>
            <w:r>
              <w:rPr>
                <w:rFonts w:eastAsia="宋体"/>
                <w:sz w:val="21"/>
              </w:rPr>
              <w:t>三种方案的完整原始仿真数据</w:t>
            </w:r>
          </w:p>
        </w:tc>
      </w:tr>
    </w:tbl>
    <w:p w14:paraId="30A1EFCF"/>
    <w:sectPr>
      <w:footerReference r:id="rId5" w:type="default"/>
      <w:pgSz w:w="12240" w:h="15840"/>
      <w:pgMar w:top="1296" w:right="1440" w:bottom="1296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FF6C9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83129C"/>
    <w:rsid w:val="74AD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643</Words>
  <Characters>815</Characters>
  <Lines>0</Lines>
  <Paragraphs>0</Paragraphs>
  <TotalTime>1</TotalTime>
  <ScaleCrop>false</ScaleCrop>
  <LinksUpToDate>false</LinksUpToDate>
  <CharactersWithSpaces>896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北落师门β</dc:creator>
  <cp:lastModifiedBy>北落师门β</cp:lastModifiedBy>
  <dcterms:modified xsi:type="dcterms:W3CDTF">2026-09-23T15:47:03Z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eyJoZGlkIjoiNzU3MWE2NDRjOGVkZTg2ZmRjMDYxOWUzYmJjN2ZiYjAiLCJ1c2VySWQiOiIxMjg2MjExMzE4In0=</vt:lpwstr>
  </property>
  <property fmtid="{D5CDD505-2E9C-101B-9397-08002B2CF9AE}" pid="3" name="KSOProductBuildVer">
    <vt:lpwstr>2052-12.1.0.28505</vt:lpwstr>
  </property>
  <property fmtid="{D5CDD505-2E9C-101B-9397-08002B2CF9AE}" pid="4" name="ICV">
    <vt:lpwstr>5DD296CF62B746639E859068C80E8710_12</vt:lpwstr>
  </property>
</Properties>
</file>