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CE1B3">
      <w:pPr>
        <w:jc w:val="center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交通仿真论文阅读总结报告</w:t>
      </w:r>
    </w:p>
    <w:p w14:paraId="51916876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</w:rPr>
        <w:t>一、</w:t>
      </w:r>
      <w:r>
        <w:rPr>
          <w:rFonts w:ascii="宋体" w:hAnsi="宋体" w:eastAsia="宋体"/>
          <w:b/>
          <w:bCs/>
        </w:rPr>
        <w:t>SUMO可以解决的交通仿真问题</w:t>
      </w:r>
    </w:p>
    <w:p w14:paraId="0C851269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1. 基本应用领域</w:t>
      </w:r>
    </w:p>
    <w:p w14:paraId="681FF62C">
      <w:pPr>
        <w:ind w:left="72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（1）</w:t>
      </w:r>
      <w:r>
        <w:rPr>
          <w:rFonts w:ascii="宋体" w:hAnsi="宋体" w:eastAsia="宋体"/>
          <w:b/>
          <w:bCs/>
        </w:rPr>
        <w:t>交通管理策略评估</w:t>
      </w:r>
    </w:p>
    <w:p w14:paraId="7427EA60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仿真的首要定位</w:t>
      </w:r>
      <w:r>
        <w:rPr>
          <w:rFonts w:hint="eastAsia" w:ascii="宋体" w:hAnsi="宋体" w:eastAsia="宋体"/>
        </w:rPr>
        <w:t>是</w:t>
      </w:r>
      <w:r>
        <w:rPr>
          <w:rFonts w:ascii="宋体" w:hAnsi="宋体" w:eastAsia="宋体"/>
        </w:rPr>
        <w:t>回答复杂研究问题、"评估或测试交通管理策略及其影响"</w:t>
      </w:r>
      <w:r>
        <w:rPr>
          <w:rFonts w:hint="eastAsia" w:ascii="宋体" w:hAnsi="宋体" w:eastAsia="宋体"/>
          <w:vertAlign w:val="superscript"/>
        </w:rPr>
        <w:t>[1]</w:t>
      </w:r>
      <w:r>
        <w:rPr>
          <w:rFonts w:hint="eastAsia" w:ascii="宋体" w:hAnsi="宋体" w:eastAsia="宋体"/>
        </w:rPr>
        <w:t>，</w:t>
      </w:r>
      <w:r>
        <w:rPr>
          <w:rFonts w:ascii="宋体" w:hAnsi="宋体" w:eastAsia="宋体"/>
        </w:rPr>
        <w:t>在实际部署前用仿真测试控制系统，避免"成本高昂且涉及安全"的实车试验；还可分析基础设施或土地使用变化对拥堵形成的影响</w:t>
      </w:r>
      <w:r>
        <w:rPr>
          <w:rFonts w:hint="eastAsia" w:ascii="宋体" w:hAnsi="宋体" w:eastAsia="宋体"/>
          <w:vertAlign w:val="superscript"/>
        </w:rPr>
        <w:t>[2]</w:t>
      </w:r>
      <w:r>
        <w:rPr>
          <w:rFonts w:ascii="宋体" w:hAnsi="宋体" w:eastAsia="宋体"/>
        </w:rPr>
        <w:t>。可评估的具体控制手段：自适应信号控制、可变速度限制（VSL）、匝道控制</w:t>
      </w:r>
      <w:r>
        <w:rPr>
          <w:rFonts w:hint="eastAsia" w:ascii="宋体" w:hAnsi="宋体" w:eastAsia="宋体"/>
        </w:rPr>
        <w:t>。</w:t>
      </w:r>
    </w:p>
    <w:p w14:paraId="4EF1A979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（2）多模式交通仿真</w:t>
      </w:r>
    </w:p>
    <w:p w14:paraId="179B8ACC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论文</w:t>
      </w: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阐述多模式与跨模式交通：以"人（person）"为中心建模，每人可拥有多种交通工具，在步行、自驾、公共交通之间组合出行；公共交通按"线路—站点序列"组织，可带时刻表。Bologna 示例场景中即包含公交、公交站点与公交专用道。支持跨模式最短路计算（步行+驾车+公交组合），既可由 DUAROUTER 在仿真前完成，也可在仿真中动态完成</w:t>
      </w:r>
      <w:r>
        <w:rPr>
          <w:rFonts w:hint="eastAsia" w:ascii="宋体" w:hAnsi="宋体" w:eastAsia="宋体"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5B8AFD4C">
      <w:pPr>
        <w:ind w:left="72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(3)  </w:t>
      </w:r>
      <w:r>
        <w:rPr>
          <w:rFonts w:ascii="宋体" w:hAnsi="宋体" w:eastAsia="宋体"/>
          <w:b/>
          <w:bCs/>
        </w:rPr>
        <w:t>详细交通分析</w:t>
      </w:r>
    </w:p>
    <w:p w14:paraId="0F71CA52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输出粒度到单车：可选输出包括车辆轨迹（位置、速度）、模型检测器数据、按边/车道聚合数据、按整车行程聚合数据等</w:t>
      </w:r>
      <w:r>
        <w:rPr>
          <w:rFonts w:hint="eastAsia" w:ascii="宋体" w:hAnsi="宋体" w:eastAsia="宋体"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027D1682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排放与能耗：可计算每辆车的 CO、CO2、NOx、PMx、HC 与油耗，基于 HBEFA 排放数据库，也可选用 TU Graz 的 PHEM 模型</w:t>
      </w:r>
      <w:r>
        <w:rPr>
          <w:rFonts w:hint="eastAsia" w:ascii="宋体" w:hAnsi="宋体" w:eastAsia="宋体"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6981EEC2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微观动力学：跟驰模型给出单车加速度、车道内横向动力学与车道内超车、借对向车道超车</w:t>
      </w:r>
      <w:r>
        <w:rPr>
          <w:rFonts w:hint="eastAsia" w:ascii="宋体" w:hAnsi="宋体" w:eastAsia="宋体"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1DAA3439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（4）复杂场景仿真</w:t>
      </w:r>
    </w:p>
    <w:p w14:paraId="585992FF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面向大规模路网的多模式仿真</w:t>
      </w:r>
      <w:r>
        <w:rPr>
          <w:rFonts w:hint="eastAsia" w:ascii="宋体" w:hAnsi="宋体" w:eastAsia="宋体"/>
        </w:rPr>
        <w:t>,如</w:t>
      </w:r>
      <w:r>
        <w:rPr>
          <w:rFonts w:ascii="宋体" w:hAnsi="宋体" w:eastAsia="宋体"/>
        </w:rPr>
        <w:t>Bologna 场景展示了"在普通台式机上快速运行、又足以开发评估复杂管理策略"的平衡。</w:t>
      </w:r>
      <w:r>
        <w:rPr>
          <w:rFonts w:hint="eastAsia" w:ascii="宋体" w:hAnsi="宋体" w:eastAsia="宋体"/>
        </w:rPr>
        <w:t>在</w:t>
      </w:r>
      <w:r>
        <w:rPr>
          <w:rFonts w:ascii="宋体" w:hAnsi="宋体" w:eastAsia="宋体"/>
        </w:rPr>
        <w:t>突发与动态管理</w:t>
      </w:r>
      <w:r>
        <w:rPr>
          <w:rFonts w:hint="eastAsia" w:ascii="宋体" w:hAnsi="宋体" w:eastAsia="宋体"/>
        </w:rPr>
        <w:t>方面，</w:t>
      </w:r>
      <w:r>
        <w:rPr>
          <w:rFonts w:ascii="宋体" w:hAnsi="宋体" w:eastAsia="宋体"/>
        </w:rPr>
        <w:t>REROUTER 可模拟道路封闭、诱导车辆改道至备用停车场、甚至更改目的地；事件层可动态或预设"事故、道路封闭、天气影响（改变车速/加速度，全网或局部）"</w:t>
      </w:r>
      <w:r>
        <w:rPr>
          <w:rFonts w:hint="eastAsia" w:ascii="宋体" w:hAnsi="宋体" w:eastAsia="宋体"/>
          <w:vertAlign w:val="superscript"/>
        </w:rPr>
        <w:t>[2]</w:t>
      </w:r>
      <w:r>
        <w:rPr>
          <w:rFonts w:ascii="宋体" w:hAnsi="宋体" w:eastAsia="宋体"/>
        </w:rPr>
        <w:t>。</w:t>
      </w:r>
    </w:p>
    <w:p w14:paraId="7F69159A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（5）多仿真器耦合</w:t>
      </w:r>
    </w:p>
    <w:p w14:paraId="1B0B85D9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真器耦合接口为 TraCI（socket 连接，可外部程序读写仿真状态）。原文实例：iTETRIS 与 COLOMBO 项目通过 iCS 将 SUMO 与网络仿真器 ns-3 耦合，评估 V2V/V2I 应用；Veins 将 SUMO 与 OMNeT++ 耦合；其扩展 Plexe 支持自动驾驶车队（platooning）与巡航控制模型。</w:t>
      </w:r>
    </w:p>
    <w:p w14:paraId="6237C79C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2. 仿真模型的分类</w:t>
      </w:r>
    </w:p>
    <w:p w14:paraId="10F19E64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论文</w:t>
      </w: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将交通仿真工具分为</w:t>
      </w:r>
      <w:r>
        <w:rPr>
          <w:rFonts w:ascii="宋体" w:hAnsi="宋体" w:eastAsia="宋体"/>
          <w:b/>
          <w:bCs/>
        </w:rPr>
        <w:t>四类</w:t>
      </w:r>
      <w:r>
        <w:rPr>
          <w:rFonts w:ascii="宋体" w:hAnsi="宋体" w:eastAsia="宋体"/>
        </w:rPr>
        <w:t>：宏观（如交通密度等平均量）、微观（逐车建模）、中观（混合）、亚微观（连车内功能如换挡都显式建模）；论文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则采用宏观/中观/微观</w:t>
      </w:r>
      <w:r>
        <w:rPr>
          <w:rFonts w:ascii="宋体" w:hAnsi="宋体" w:eastAsia="宋体"/>
          <w:b/>
          <w:bCs/>
        </w:rPr>
        <w:t>三分法</w:t>
      </w:r>
      <w:r>
        <w:rPr>
          <w:rFonts w:ascii="宋体" w:hAnsi="宋体" w:eastAsia="宋体"/>
        </w:rPr>
        <w:t>。分类口径不一致</w:t>
      </w:r>
      <w:r>
        <w:rPr>
          <w:rFonts w:hint="eastAsia" w:ascii="宋体" w:hAnsi="宋体" w:eastAsia="宋体"/>
        </w:rPr>
        <w:t>是由于1需要展示能力上限，2其实三分法就够用。</w:t>
      </w:r>
    </w:p>
    <w:p w14:paraId="19A2D4A7">
      <w:pPr>
        <w:ind w:left="720"/>
        <w:rPr>
          <w:rFonts w:ascii="宋体" w:hAnsi="宋体" w:eastAsia="宋体"/>
        </w:rPr>
      </w:pPr>
    </w:p>
    <w:p w14:paraId="49D2E999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二、交通仿真系统的主要组成部分</w:t>
      </w:r>
    </w:p>
    <w:p w14:paraId="3B585F76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说明：本部分的</w:t>
      </w:r>
      <w:r>
        <w:rPr>
          <w:rFonts w:hint="eastAsia" w:ascii="宋体" w:hAnsi="宋体" w:eastAsia="宋体"/>
        </w:rPr>
        <w:t>列出的组成部分</w:t>
      </w:r>
      <w:r>
        <w:rPr>
          <w:rFonts w:ascii="宋体" w:hAnsi="宋体" w:eastAsia="宋体"/>
        </w:rPr>
        <w:t>在论文</w:t>
      </w: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中并非以清单形式出现，而是由工作流总览加上</w:t>
      </w:r>
      <w:r>
        <w:rPr>
          <w:rFonts w:hint="eastAsia" w:ascii="宋体" w:hAnsi="宋体" w:eastAsia="宋体"/>
        </w:rPr>
        <w:t>具体</w:t>
      </w:r>
      <w:r>
        <w:rPr>
          <w:rFonts w:ascii="宋体" w:hAnsi="宋体" w:eastAsia="宋体"/>
        </w:rPr>
        <w:t>展开拼合而成；论文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从输入文件角度（路网、需求、检测器）与之呼应。此外</w:t>
      </w:r>
      <w:r>
        <w:rPr>
          <w:rFonts w:hint="eastAsia" w:ascii="宋体" w:hAnsi="宋体" w:eastAsia="宋体"/>
        </w:rPr>
        <w:t>，论文1还</w:t>
      </w:r>
      <w:r>
        <w:rPr>
          <w:rFonts w:ascii="宋体" w:hAnsi="宋体" w:eastAsia="宋体"/>
        </w:rPr>
        <w:t>强调：仿真模型具有随机性，应"多次重复运行并做统计推断"。</w:t>
      </w:r>
    </w:p>
    <w:p w14:paraId="4852F348">
      <w:pPr>
        <w:ind w:left="720"/>
        <w:rPr>
          <w:rFonts w:hint="eastAsia" w:ascii="宋体" w:hAnsi="宋体" w:eastAsia="宋体"/>
          <w:b/>
          <w:bCs/>
          <w:vertAlign w:val="superscript"/>
        </w:rPr>
      </w:pPr>
      <w:r>
        <w:rPr>
          <w:rFonts w:ascii="宋体" w:hAnsi="宋体" w:eastAsia="宋体"/>
          <w:b/>
          <w:bCs/>
        </w:rPr>
        <w:t>1. 基础仿真数据与网络</w:t>
      </w:r>
    </w:p>
    <w:p w14:paraId="314BDA96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路网由节点与单向边构成，边由若干平行车道组成；车道宽度、限速、通行权限（如仅公交）等属性沿车道为常数，</w:t>
      </w:r>
      <w:r>
        <w:rPr>
          <w:rFonts w:ascii="宋体" w:hAnsi="宋体" w:eastAsia="宋体"/>
          <w:b/>
          <w:bCs/>
        </w:rPr>
        <w:t>属性变化处必须拆分为多段边</w:t>
      </w:r>
      <w:r>
        <w:rPr>
          <w:rFonts w:hint="eastAsia" w:ascii="宋体" w:hAnsi="宋体" w:eastAsia="宋体"/>
          <w:b/>
          <w:bCs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460D86A2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路口处显式建模转向与路权规则，直接决定仿真动态行为</w:t>
      </w:r>
      <w:r>
        <w:rPr>
          <w:rFonts w:hint="eastAsia" w:ascii="宋体" w:hAnsi="宋体" w:eastAsia="宋体"/>
          <w:b/>
          <w:bCs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0FF2BC09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建网工具：NETCONVERT 从 OSM、OpenDRIVE、Shapefile、MATSim、Vissim 等导入，并启发式补全微观仿真所需细节（如自动合成信号配时、路权规则、路口几何）；NETEDIT 用于人工精修与补充设施（信号灯、公交站点、多边形/POI）。停车场容量则出现在 REROUTER 的停车诱导逻辑中</w:t>
      </w:r>
      <w:r>
        <w:rPr>
          <w:rFonts w:hint="eastAsia" w:ascii="宋体" w:hAnsi="宋体" w:eastAsia="宋体"/>
          <w:vertAlign w:val="superscript"/>
        </w:rPr>
        <w:t>[1][2]</w:t>
      </w:r>
      <w:r>
        <w:rPr>
          <w:rFonts w:ascii="宋体" w:hAnsi="宋体" w:eastAsia="宋体"/>
        </w:rPr>
        <w:t>。</w:t>
      </w:r>
    </w:p>
    <w:p w14:paraId="6E246E2C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2. 交通需求</w:t>
      </w:r>
    </w:p>
    <w:p w14:paraId="06A38413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需求可定义为个体出行、流量或路径，基本信息为出发时间、起点、终点与交通方式</w:t>
      </w:r>
      <w:r>
        <w:rPr>
          <w:rFonts w:hint="eastAsia" w:ascii="宋体" w:hAnsi="宋体" w:eastAsia="宋体"/>
          <w:b/>
          <w:bCs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4A0E8A91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O-D 矩阵是传统四阶段法的典型需求描述，经 OD2TRIPS 转为个体出行；另有 ACTIVITYGEN（活动合成）、Flowrouter（以检测器数据为容量解最大流）、DFROUTER、JTRROUTER、randomTrips.py 等多种按数据源生成需求的工具</w:t>
      </w:r>
      <w:r>
        <w:rPr>
          <w:rFonts w:hint="eastAsia" w:ascii="宋体" w:hAnsi="宋体" w:eastAsia="宋体"/>
          <w:b/>
          <w:bCs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2AE6C953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路径指派：DUAROUTER（用户均衡 UE）、MAROUTER（随机用户均衡 SUE）、Oneshot（按出发时刻最快路）——三种方法的均衡原则是</w:t>
      </w:r>
      <w:r>
        <w:rPr>
          <w:rFonts w:hint="eastAsia" w:ascii="宋体" w:hAnsi="宋体" w:eastAsia="宋体"/>
        </w:rPr>
        <w:t>论文1</w:t>
      </w:r>
      <w:r>
        <w:rPr>
          <w:rFonts w:ascii="宋体" w:hAnsi="宋体" w:eastAsia="宋体"/>
        </w:rPr>
        <w:t>明确写出的。</w:t>
      </w:r>
    </w:p>
    <w:p w14:paraId="72C63729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3. 核心仿真引擎</w:t>
      </w:r>
    </w:p>
    <w:p w14:paraId="393F2112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车辆运动：跟驰模型提供加速度，换道默认仅在同向车道间进行</w:t>
      </w:r>
      <w:r>
        <w:rPr>
          <w:rFonts w:hint="eastAsia" w:ascii="宋体" w:hAnsi="宋体" w:eastAsia="宋体"/>
          <w:b/>
          <w:bCs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45E48F13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数值积分：默认一阶欧拉格式；SUMO 0.28 起可选弹道格式（按步内恒定加速度更新），轨迹更平滑——</w:t>
      </w:r>
      <w:r>
        <w:rPr>
          <w:rFonts w:ascii="宋体" w:hAnsi="宋体" w:eastAsia="宋体"/>
          <w:b/>
          <w:bCs/>
        </w:rPr>
        <w:t>模型标定结果依赖于所选积分格式</w:t>
      </w:r>
      <w:r>
        <w:rPr>
          <w:rFonts w:ascii="宋体" w:hAnsi="宋体" w:eastAsia="宋体"/>
        </w:rPr>
        <w:t>，步长取得大时差异尤其明显</w:t>
      </w:r>
      <w:r>
        <w:rPr>
          <w:rFonts w:hint="eastAsia" w:ascii="宋体" w:hAnsi="宋体" w:eastAsia="宋体"/>
          <w:b/>
          <w:bCs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6C519614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反应时间：默认等于仿真步长；SUMO 0.32 起可用"动作点"机制把有效反应时间与步长解耦（下界为步长、上界为设定的动作步长），既能个性化驾驶能力，也可用于给大规模仿真提速</w:t>
      </w:r>
      <w:r>
        <w:rPr>
          <w:rFonts w:hint="eastAsia" w:ascii="宋体" w:hAnsi="宋体" w:eastAsia="宋体"/>
          <w:b/>
          <w:bCs/>
          <w:vertAlign w:val="superscript"/>
        </w:rPr>
        <w:t>[1] [2]</w:t>
      </w:r>
      <w:r>
        <w:rPr>
          <w:rFonts w:ascii="宋体" w:hAnsi="宋体" w:eastAsia="宋体"/>
        </w:rPr>
        <w:t>。</w:t>
      </w:r>
    </w:p>
    <w:p w14:paraId="10F776BA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行人模型：</w:t>
      </w:r>
      <w:r>
        <w:rPr>
          <w:rFonts w:hint="eastAsia" w:ascii="宋体" w:hAnsi="宋体" w:eastAsia="宋体"/>
        </w:rPr>
        <w:t>论文1</w:t>
      </w:r>
      <w:r>
        <w:rPr>
          <w:rFonts w:ascii="宋体" w:hAnsi="宋体" w:eastAsia="宋体"/>
        </w:rPr>
        <w:t>定义了统一的行人交互抽象接口，称目前有三种模型实现，</w:t>
      </w:r>
      <w:r>
        <w:rPr>
          <w:rFonts w:hint="eastAsia" w:ascii="宋体" w:hAnsi="宋体" w:eastAsia="宋体"/>
        </w:rPr>
        <w:t>但</w:t>
      </w:r>
      <w:r>
        <w:rPr>
          <w:rFonts w:ascii="宋体" w:hAnsi="宋体" w:eastAsia="宋体"/>
        </w:rPr>
        <w:t>正文只介绍了其中两种——非交互模型（仅跟踪行程，如公交延误的影响）与条纹模型（Striping，默认模型：把人行空间沿行走方向切成窄条、每条至多与一个对象交互，因而执行速度对行人数呈线性）。</w:t>
      </w:r>
    </w:p>
    <w:p w14:paraId="009281FC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4. 交通管理与控制</w:t>
      </w:r>
    </w:p>
    <w:p w14:paraId="0F914DCF">
      <w:pPr>
        <w:ind w:left="7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介绍到的</w:t>
      </w:r>
      <w:r>
        <w:rPr>
          <w:rFonts w:ascii="宋体" w:hAnsi="宋体" w:eastAsia="宋体"/>
        </w:rPr>
        <w:t>需求侧适配工具</w: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</w:rPr>
        <w:t>Cadyts（贝叶斯路径选择标定，与 SUMO 迭代交互直至收敛）、内置 Calibrator（按实测流量/速度插入或删除车辆，原理类似可变限速标志）、REROUTER（改路径/目的地/停车场、设置封闭路段）。</w:t>
      </w:r>
    </w:p>
    <w:p w14:paraId="5462A696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路由与流量分配工具</w: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</w:rPr>
        <w:t>DUAROUTER、MAROUTER 等</w:t>
      </w:r>
      <w:r>
        <w:rPr>
          <w:rFonts w:hint="eastAsia" w:ascii="宋体" w:hAnsi="宋体" w:eastAsia="宋体"/>
          <w:b/>
          <w:bCs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679DAA29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论文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对应的是"控制器侧"：TUD-SUMO 承担控制器的基操（跟踪/更新信号状态、动态路径诱导下的车辆重定向），但</w:t>
      </w:r>
      <w:r>
        <w:rPr>
          <w:rFonts w:ascii="宋体" w:hAnsi="宋体" w:eastAsia="宋体"/>
          <w:b/>
          <w:bCs/>
        </w:rPr>
        <w:t>明确不包含任何控制策略</w:t>
      </w:r>
      <w:r>
        <w:rPr>
          <w:rFonts w:ascii="宋体" w:hAnsi="宋体" w:eastAsia="宋体"/>
        </w:rPr>
        <w:t>，只提供取数端点——控制算法本身留给研究者。</w:t>
      </w:r>
    </w:p>
    <w:p w14:paraId="2695CB00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5. 数据收集与输出</w:t>
      </w:r>
    </w:p>
    <w:p w14:paraId="5B998C40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论文</w:t>
      </w: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列出的输出清单：车辆轨迹、模型检测器采集的交通数据、按边/车道聚合数据、按全程聚合数据、信号灯切换协议、全仿真聚合数据、排放与能耗；输出可格式转换，并可用 Python/MATLAB 导入分析。</w:t>
      </w:r>
    </w:p>
    <w:p w14:paraId="2CA65781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论文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补上"自动化"一环：每个时间步自动存储仿真统计（车辆数、行程信息等），被跟踪的边/车道/路口自动算出进/出流量等工程指标，最终统一存为单个 JSON 或二进制文件。</w:t>
      </w:r>
    </w:p>
    <w:p w14:paraId="0477CB0E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6. 可视化与分析工具</w:t>
      </w:r>
    </w:p>
    <w:p w14:paraId="02B58DBD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SUMO-GUI 用于定性校验，支持变速观察与多种着色方案（速度、密度、路权规则、高程等）</w:t>
      </w:r>
      <w:r>
        <w:rPr>
          <w:rFonts w:hint="eastAsia" w:ascii="宋体" w:hAnsi="宋体" w:eastAsia="宋体"/>
          <w:b/>
          <w:bCs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0A0B413D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论文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 xml:space="preserve"> 补足"交通工程导向"出图：检测器平均速度、全网延误、自适应信号的相位时序图、匝道控制率曲线、沿连续路段的时空图；开启 GUI 还能生成跟踪特定车辆的视频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</w:t>
      </w:r>
    </w:p>
    <w:p w14:paraId="6CD26FC4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7. 模型验证</w:t>
      </w:r>
    </w:p>
    <w:p w14:paraId="6016A249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论文</w:t>
      </w: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的态度很务实：验证没有"一站式"方案，输入路网、外部生成的需求、动力学、排放各层都要持续保持警惕；凡有机会就用真实数据核对，甚至建议站在想建模的路口旁做目视对比。</w:t>
      </w:r>
    </w:p>
    <w:p w14:paraId="5F5CB165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定量口径：作者经验是 </w:t>
      </w:r>
      <w:r>
        <w:rPr>
          <w:rFonts w:ascii="宋体" w:hAnsi="宋体" w:eastAsia="宋体"/>
          <w:b/>
          <w:bCs/>
        </w:rPr>
        <w:t>RMSE 足矣</w:t>
      </w:r>
      <w:r>
        <w:rPr>
          <w:rFonts w:ascii="宋体" w:hAnsi="宋体" w:eastAsia="宋体"/>
        </w:rPr>
        <w:t>，不必追求更复杂指标；微观层面（车头时距、速度、加速度）的典型验证误差为 10–20%；路网层面通行准则为"85%以上的断面计数与实测偏差小于 15%"</w:t>
      </w:r>
      <w:r>
        <w:rPr>
          <w:rFonts w:hint="eastAsia" w:ascii="宋体" w:hAnsi="宋体" w:eastAsia="宋体"/>
          <w:b/>
          <w:bCs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020E5898">
      <w:pPr>
        <w:ind w:left="7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其中还</w:t>
      </w:r>
      <w:r>
        <w:rPr>
          <w:rFonts w:ascii="宋体" w:hAnsi="宋体" w:eastAsia="宋体"/>
          <w:b/>
          <w:bCs/>
        </w:rPr>
        <w:t>强烈建议不要手工标定</w:t>
      </w:r>
      <w:r>
        <w:rPr>
          <w:rFonts w:hint="eastAsia" w:ascii="宋体" w:hAnsi="宋体" w:eastAsia="宋体"/>
        </w:rPr>
        <w:t>因为结果几乎不可复现</w:t>
      </w:r>
      <w:r>
        <w:rPr>
          <w:rFonts w:ascii="宋体" w:hAnsi="宋体" w:eastAsia="宋体"/>
        </w:rPr>
        <w:t>，应改用非线性最小化等数值工具；并以 Bologna 场景演示了"仿真计数 vs 实测计数"的网络级校验散点图与线性拟合</w:t>
      </w:r>
      <w:r>
        <w:rPr>
          <w:rFonts w:hint="eastAsia" w:ascii="宋体" w:hAnsi="宋体" w:eastAsia="宋体"/>
          <w:b/>
          <w:bCs/>
          <w:vertAlign w:val="superscript"/>
        </w:rPr>
        <w:t>[1]</w:t>
      </w:r>
      <w:r>
        <w:rPr>
          <w:rFonts w:ascii="宋体" w:hAnsi="宋体" w:eastAsia="宋体"/>
        </w:rPr>
        <w:t>。</w:t>
      </w:r>
    </w:p>
    <w:p w14:paraId="7B697E15">
      <w:pPr>
        <w:ind w:left="720"/>
        <w:rPr>
          <w:rFonts w:ascii="宋体" w:hAnsi="宋体" w:eastAsia="宋体"/>
        </w:rPr>
      </w:pPr>
      <w:r>
        <w:rPr>
          <w:rFonts w:hint="eastAsia" w:ascii="宋体" w:hAnsi="宋体" w:eastAsia="宋体" w:cs="Segoe UI Emoji"/>
        </w:rPr>
        <w:t>有关论文1</w:t>
      </w:r>
      <w:r>
        <w:rPr>
          <w:rFonts w:ascii="宋体" w:hAnsi="宋体" w:eastAsia="宋体"/>
        </w:rPr>
        <w:t>的两条"反直觉"建议</w:t>
      </w:r>
      <w:r>
        <w:rPr>
          <w:rFonts w:hint="eastAsia" w:ascii="宋体" w:hAnsi="宋体" w:eastAsia="宋体"/>
        </w:rPr>
        <w:t>都</w:t>
      </w:r>
      <w:r>
        <w:rPr>
          <w:rFonts w:ascii="宋体" w:hAnsi="宋体" w:eastAsia="宋体"/>
        </w:rPr>
        <w:t>指向同一个原则——</w:t>
      </w:r>
      <w:r>
        <w:rPr>
          <w:rFonts w:ascii="宋体" w:hAnsi="宋体" w:eastAsia="宋体"/>
          <w:b/>
          <w:bCs/>
        </w:rPr>
        <w:t>可复现性优先于指标的花哨程度</w:t>
      </w:r>
      <w:r>
        <w:rPr>
          <w:rFonts w:ascii="宋体" w:hAnsi="宋体" w:eastAsia="宋体"/>
        </w:rPr>
        <w:t>。这个原则在论文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里以另一种形式重现：事件设置存成独立文件以便复现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。两篇文章隔着八年，在"可复现性"上完全一致，</w:t>
      </w:r>
      <w:r>
        <w:rPr>
          <w:rFonts w:hint="eastAsia" w:ascii="宋体" w:hAnsi="宋体" w:eastAsia="宋体"/>
        </w:rPr>
        <w:t>足以</w:t>
      </w:r>
      <w:r>
        <w:rPr>
          <w:rFonts w:ascii="宋体" w:hAnsi="宋体" w:eastAsia="宋体"/>
        </w:rPr>
        <w:t>说明这是仿真研究的底线要求。</w:t>
      </w:r>
    </w:p>
    <w:p w14:paraId="545B2DC4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三、为什么需要TUD-SUMO及其主要作用</w:t>
      </w:r>
    </w:p>
    <w:p w14:paraId="48F7AD77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1. SUMO存在的局限性</w:t>
      </w:r>
    </w:p>
    <w:p w14:paraId="60C69255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学习曲线陡峭</w:t>
      </w:r>
    </w:p>
    <w:p w14:paraId="3CE8BA7E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"SUMO 与 TraCI 比同类交通仿真软件学习曲线更陡"——这是论文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 xml:space="preserve"> 的明确论断，并附两篇对比研究文献；对学生和跨学科研究者尤其明显，因为充分利用它需要大量编程、设置与数据管理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</w:t>
      </w:r>
    </w:p>
    <w:p w14:paraId="47475807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开发效率问题</w:t>
      </w:r>
    </w:p>
    <w:p w14:paraId="1708DFBC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若仅用 TraCI，所有数据都要手动获取与加工，且这些流程"常在每个新项目中重新实现"；管理多个控制器和检测器时问题进一步放大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</w:t>
      </w:r>
    </w:p>
    <w:p w14:paraId="4A7BE4F2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功能整合不足</w:t>
      </w:r>
    </w:p>
    <w:p w14:paraId="0E0AF3DB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TraCI 本身不提供自动化的数据收集——这正是论文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自述的两大贡献之一要补的短板；交通工程导向的可视化与事件系统同样是</w:t>
      </w:r>
      <w:r>
        <w:rPr>
          <w:rFonts w:hint="eastAsia" w:ascii="宋体" w:hAnsi="宋体" w:eastAsia="宋体"/>
        </w:rPr>
        <w:t>论文2</w:t>
      </w:r>
      <w:r>
        <w:rPr>
          <w:rFonts w:ascii="宋体" w:hAnsi="宋体" w:eastAsia="宋体"/>
        </w:rPr>
        <w:t>以</w:t>
      </w:r>
      <w:r>
        <w:rPr>
          <w:rFonts w:hint="eastAsia" w:ascii="宋体" w:hAnsi="宋体" w:eastAsia="宋体"/>
        </w:rPr>
        <w:t>补充</w:t>
      </w:r>
      <w:r>
        <w:rPr>
          <w:rFonts w:ascii="宋体" w:hAnsi="宋体" w:eastAsia="宋体"/>
        </w:rPr>
        <w:t>的口吻补上的。</w:t>
      </w:r>
    </w:p>
    <w:p w14:paraId="46494120">
      <w:pPr>
        <w:ind w:left="7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以上都是论文2的观点，但论文1并没有提出明显批评。</w:t>
      </w:r>
    </w:p>
    <w:p w14:paraId="249A6F59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2. TUD-SUMO的设计目标</w:t>
      </w:r>
    </w:p>
    <w:p w14:paraId="68BFE298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TUD-SUMO 由代尔夫特理工大学 DAIMoNDLab 研究组开发，2023年4月启动、2024年7月以 v3.0.0 首次发布到 PyPI；定位为"研究加速工具"：</w:t>
      </w:r>
      <w:r>
        <w:rPr>
          <w:rFonts w:hint="eastAsia" w:ascii="宋体" w:hAnsi="宋体" w:eastAsia="宋体"/>
        </w:rPr>
        <w:t>主要用于</w:t>
      </w:r>
      <w:r>
        <w:rPr>
          <w:rFonts w:ascii="宋体" w:hAnsi="宋体" w:eastAsia="宋体"/>
        </w:rPr>
        <w:t>快速原型化控制策略、降低学习曲线，让研究者专注于控制系统/策略设计而非仿真与数据管理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。作为包装器它有两面性，原文说得很直白：TraCI 没实现的细粒度操作它也做不了；但它在更高层封装、且不限制 TraCI 的既有能力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</w:t>
      </w:r>
    </w:p>
    <w:p w14:paraId="2464D210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3. TUD-SUMO的主要作用</w:t>
      </w:r>
    </w:p>
    <w:p w14:paraId="4ADB786B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（1）简化的仿真接口</w:t>
      </w:r>
    </w:p>
    <w:p w14:paraId="60A77B15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论文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自述的两大贡献之一：用少量代码表达复杂交互，控制器的基操（信号状态跟踪/更新、路径诱导重定向）由主组件托管。</w:t>
      </w:r>
    </w:p>
    <w:p w14:paraId="1429C925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（2）自动化数据收集</w:t>
      </w:r>
    </w:p>
    <w:p w14:paraId="4DD0622B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每个时间步自动存储仿真统计（网络车辆数、行程信息等）；创建控制器或跟踪对象（边/车道/路口）后，自动计算进/出流量等指标，例如"某路口若干检测器过去5分钟的平均车辆密度"即取数端点的原文示例。</w:t>
      </w:r>
      <w:r>
        <w:rPr>
          <w:rFonts w:hint="eastAsia" w:ascii="宋体" w:hAnsi="宋体" w:eastAsia="宋体"/>
        </w:rPr>
        <w:t>而</w:t>
      </w:r>
      <w:r>
        <w:rPr>
          <w:rFonts w:ascii="宋体" w:hAnsi="宋体" w:eastAsia="宋体"/>
        </w:rPr>
        <w:t>仅用 TraCI 时这些都要手动获取和处理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</w:t>
      </w:r>
    </w:p>
    <w:p w14:paraId="4E52EC21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（3）事件系统</w:t>
      </w:r>
    </w:p>
    <w:p w14:paraId="5FD7A4CA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事件可在仿真中动态启动或初始化时排程；除事故、道路封闭外，几乎所有路网/车辆参数都可在自定义事件中修改，如天气对车速/加速度的影响（全网或局部）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</w:t>
      </w:r>
      <w:r>
        <w:rPr>
          <w:rFonts w:hint="eastAsia" w:ascii="宋体" w:hAnsi="宋体" w:eastAsia="宋体"/>
        </w:rPr>
        <w:t>其中</w:t>
      </w:r>
      <w:r>
        <w:rPr>
          <w:rFonts w:ascii="宋体" w:hAnsi="宋体" w:eastAsia="宋体"/>
        </w:rPr>
        <w:t>可复现性被专门强调：事件设置可存为独立文件共享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</w:t>
      </w:r>
    </w:p>
    <w:p w14:paraId="6ED9C8F3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（4）交通工程导向的可视化</w:t>
      </w:r>
    </w:p>
    <w:p w14:paraId="33FEFDE0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基础量直接可画（检测器平均速度、全网延误）；情境化出图：自适应信号相位时序、匝道控制率、连续路段时空图；GUI 模式下可生成跟踪特定车辆的视频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</w:t>
      </w:r>
    </w:p>
    <w:p w14:paraId="585E4DEB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（5）标准化数据管理</w:t>
      </w:r>
    </w:p>
    <w:p w14:paraId="34E01E84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仿真结束统一保存为单个 JSON 或二进制文件；另有可选配置文件存放对象参数，减少硬编码、提高可移植性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  <w:r>
        <w:rPr>
          <w:rFonts w:ascii="宋体" w:hAnsi="宋体" w:eastAsia="宋体"/>
        </w:rPr>
        <w:t>。</w:t>
      </w:r>
    </w:p>
    <w:p w14:paraId="14FF883F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4. 实际应用效果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</w:p>
    <w:p w14:paraId="2A1A87A5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基准测试设置</w:t>
      </w:r>
    </w:p>
    <w:p w14:paraId="56D2859A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高速公路匝道场景：匝道需求恒定 500 veh/h，主线 1000→1500 veh/h（400–1600 s 渐增），时长 2000 s；五项测试 A–E：裸跑仿真、浮动车数据、时空图生成、ALINEA 匝道控制、匝道下游动态事故。</w:t>
      </w:r>
    </w:p>
    <w:p w14:paraId="655C5BC8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代码复杂度降低</w:t>
      </w:r>
    </w:p>
    <w:p w14:paraId="7F055160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测试 C–E 中，代码行数比纯 TraCI 减少 50.9–52.9%，圈复杂度降低 72.7–87.5%。两个代表性用例：生成时空图（测试C）用纯 TraCI 的圈复杂度是 TUD-SUMO 的 </w:t>
      </w:r>
      <w:r>
        <w:rPr>
          <w:rFonts w:ascii="宋体" w:hAnsi="宋体" w:eastAsia="宋体"/>
          <w:b/>
          <w:bCs/>
        </w:rPr>
        <w:t>8 倍</w:t>
      </w:r>
      <w:r>
        <w:rPr>
          <w:rFonts w:ascii="宋体" w:hAnsi="宋体" w:eastAsia="宋体"/>
        </w:rPr>
        <w:t xml:space="preserve">（浮动车数据要手动处理、还要大量调用 Matplotlib）；ALINEA 匝道控制（测试D）为 </w:t>
      </w:r>
      <w:r>
        <w:rPr>
          <w:rFonts w:ascii="宋体" w:hAnsi="宋体" w:eastAsia="宋体"/>
          <w:b/>
          <w:bCs/>
        </w:rPr>
        <w:t>3.7 倍</w:t>
      </w:r>
      <w:r>
        <w:rPr>
          <w:rFonts w:ascii="宋体" w:hAnsi="宋体" w:eastAsia="宋体"/>
        </w:rPr>
        <w:t>、代码量翻倍——因为匝道状态与控制区间内的检测器数据都得手动跟踪聚合。</w:t>
      </w:r>
    </w:p>
    <w:p w14:paraId="0A0FBC00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应用场景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</w:p>
    <w:p w14:paraId="18AC03AD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两个 Horizon Europe 项目：</w:t>
      </w:r>
      <w:r>
        <w:rPr>
          <w:rFonts w:ascii="宋体" w:hAnsi="宋体" w:eastAsia="宋体"/>
          <w:b/>
          <w:bCs/>
        </w:rPr>
        <w:t>DIT4TraM</w:t>
      </w:r>
      <w:r>
        <w:rPr>
          <w:rFonts w:ascii="宋体" w:hAnsi="宋体" w:eastAsia="宋体"/>
        </w:rPr>
        <w:t xml:space="preserve">（2023年4月的项目试点直接催生了 TUD-SUMO：一个拍卖式自行车优先信号控制算法需要接入仿真环境，又要求不改动既有代码库）与 </w:t>
      </w:r>
      <w:r>
        <w:rPr>
          <w:rFonts w:ascii="宋体" w:hAnsi="宋体" w:eastAsia="宋体"/>
          <w:b/>
          <w:bCs/>
        </w:rPr>
        <w:t>ACUMEN</w:t>
      </w:r>
      <w:r>
        <w:rPr>
          <w:rFonts w:ascii="宋体" w:hAnsi="宋体" w:eastAsia="宋体"/>
        </w:rPr>
        <w:t>。</w:t>
      </w:r>
    </w:p>
    <w:p w14:paraId="1A15B5C1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TU Delft 两门课：CT3505-24（通过网页界面让学生体验跟驰模型与匝道控制，面向先修背景差异很大的多学科学生）与 CIEM6110（评估自动驾驶渗透率影响，批量实例化车辆类型并对比多组仿真）。</w:t>
      </w:r>
    </w:p>
    <w:p w14:paraId="4DEA5F8A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PyPI 2024–2025 两年共下载 778 次（含自动安装）。</w:t>
      </w:r>
    </w:p>
    <w:p w14:paraId="33601457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性能权衡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</w:p>
    <w:p w14:paraId="07F913F8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运行时间为纯 TraCI 的 </w:t>
      </w:r>
      <w:r>
        <w:rPr>
          <w:rFonts w:ascii="宋体" w:hAnsi="宋体" w:eastAsia="宋体"/>
          <w:b/>
          <w:bCs/>
        </w:rPr>
        <w:t>1.7–3.6 倍</w:t>
      </w:r>
      <w:r>
        <w:rPr>
          <w:rFonts w:ascii="宋体" w:hAnsi="宋体" w:eastAsia="宋体"/>
        </w:rPr>
        <w:t xml:space="preserve">，CPU 利用率多为 </w:t>
      </w:r>
      <w:r>
        <w:rPr>
          <w:rFonts w:ascii="宋体" w:hAnsi="宋体" w:eastAsia="宋体"/>
          <w:b/>
          <w:bCs/>
        </w:rPr>
        <w:t>3.3–8.5 倍</w:t>
      </w:r>
      <w:r>
        <w:rPr>
          <w:rFonts w:ascii="宋体" w:hAnsi="宋体" w:eastAsia="宋体"/>
        </w:rPr>
        <w:t>；内存则是混合结果——简单用例（A/B）更高（+4%/+80%），复杂用例（C–E）反而低约 25%（得益于其数据存储与聚合方式）。</w:t>
      </w:r>
    </w:p>
    <w:p w14:paraId="331E23CF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作者</w:t>
      </w:r>
      <w:r>
        <w:rPr>
          <w:rFonts w:hint="eastAsia" w:ascii="宋体" w:hAnsi="宋体" w:eastAsia="宋体"/>
        </w:rPr>
        <w:t>也</w:t>
      </w:r>
      <w:r>
        <w:rPr>
          <w:rFonts w:ascii="宋体" w:hAnsi="宋体" w:eastAsia="宋体"/>
        </w:rPr>
        <w:t>解释了代价来源：包装器默认"覆盖更全的高质量数据"，而不是把繁琐的数据管理甩给用户；缓解手段包括可开关的数据收集、自动管理 TraCI 订阅。</w:t>
      </w:r>
      <w:r>
        <w:rPr>
          <w:rFonts w:hint="eastAsia" w:ascii="宋体" w:hAnsi="宋体" w:eastAsia="宋体"/>
        </w:rPr>
        <w:t>同时</w:t>
      </w:r>
      <w:r>
        <w:rPr>
          <w:rFonts w:ascii="宋体" w:hAnsi="宋体" w:eastAsia="宋体"/>
        </w:rPr>
        <w:t>实验严谨性</w:t>
      </w:r>
      <w:r>
        <w:rPr>
          <w:rFonts w:hint="eastAsia" w:ascii="宋体" w:hAnsi="宋体" w:eastAsia="宋体"/>
        </w:rPr>
        <w:t>也</w:t>
      </w:r>
      <w:r>
        <w:rPr>
          <w:rFonts w:ascii="宋体" w:hAnsi="宋体" w:eastAsia="宋体"/>
        </w:rPr>
        <w:t>值得记录：同场景同随机种子，Apple M1/16GB 上各重复 10 次，各指标变异系数 &lt;3%（多数 &lt;1.5%）。</w:t>
      </w:r>
    </w:p>
    <w:p w14:paraId="26509C2F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论文B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 xml:space="preserve"> 自己提到，机器学习类交通管理动辄需要"数千仿真小时"的训练。在那类场景里，1.7–3.6 倍的运行时开销恰恰不可接受——而作者也确实把 SUMO-RL 和 FLOW 归为"面向强化学习环境"的另一类工具、并明确不与之对比。也就是说 TUD-SUMO 的</w:t>
      </w:r>
      <w:r>
        <w:rPr>
          <w:rFonts w:hint="eastAsia" w:ascii="宋体" w:hAnsi="宋体" w:eastAsia="宋体"/>
        </w:rPr>
        <w:t>能力边界</w:t>
      </w:r>
      <w:r>
        <w:rPr>
          <w:rFonts w:ascii="宋体" w:hAnsi="宋体" w:eastAsia="宋体"/>
        </w:rPr>
        <w:t>非常清楚：</w:t>
      </w:r>
      <w:r>
        <w:rPr>
          <w:rFonts w:ascii="宋体" w:hAnsi="宋体" w:eastAsia="宋体"/>
          <w:b/>
          <w:bCs/>
        </w:rPr>
        <w:t>人在回路里快速迭代的研究与教学，而不是大规模自动搜索</w:t>
      </w:r>
      <w:r>
        <w:rPr>
          <w:rFonts w:ascii="宋体" w:hAnsi="宋体" w:eastAsia="宋体"/>
        </w:rPr>
        <w:t>。这个边界论文写得很诚实，选用工具时应先对号入座。</w:t>
      </w:r>
    </w:p>
    <w:p w14:paraId="7D8484B2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5. TUD-SUMO的核心创新</w:t>
      </w:r>
      <w:r>
        <w:rPr>
          <w:rFonts w:hint="eastAsia" w:ascii="宋体" w:hAnsi="宋体" w:eastAsia="宋体"/>
          <w:b/>
          <w:bCs/>
          <w:vertAlign w:val="superscript"/>
        </w:rPr>
        <w:t>[2]</w:t>
      </w:r>
    </w:p>
    <w:p w14:paraId="3BA7AA7F">
      <w:pPr>
        <w:ind w:left="720"/>
        <w:rPr>
          <w:rFonts w:ascii="宋体" w:hAnsi="宋体" w:eastAsia="宋体"/>
        </w:rPr>
      </w:pPr>
      <w:r>
        <w:rPr>
          <w:rFonts w:ascii="宋体" w:hAnsi="宋体" w:eastAsia="宋体"/>
        </w:rPr>
        <w:t>对比对象只选了标准 TraCI，理由</w:t>
      </w:r>
      <w:r>
        <w:rPr>
          <w:rFonts w:hint="eastAsia" w:ascii="宋体" w:hAnsi="宋体" w:eastAsia="宋体"/>
        </w:rPr>
        <w:t>是这样给出的</w:t>
      </w:r>
      <w:r>
        <w:rPr>
          <w:rFonts w:ascii="宋体" w:hAnsi="宋体" w:eastAsia="宋体"/>
        </w:rPr>
        <w:t>：SUMO 文档列出的多数扩展要么已停止维护（SUMOPy 停在 Python 2.7，该版本 2020 年 1 月已终止支持），要么面向特定任务（SUMO-RL、FLOW 服务于机器学习环境）。由此可读出 TUD-SUMO 的定位差异：不绑定特定任务、持续维护、面向自适应交通控制系统开发、以包装器形式保留 TraCI 全部能力。</w:t>
      </w:r>
    </w:p>
    <w:p w14:paraId="2A44AEFE">
      <w:pPr>
        <w:ind w:left="720"/>
        <w:rPr>
          <w:rFonts w:ascii="宋体" w:hAnsi="宋体" w:eastAsia="宋体"/>
        </w:rPr>
      </w:pPr>
    </w:p>
    <w:p w14:paraId="27FA0C7C">
      <w:pPr>
        <w:ind w:left="72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四、总体结论</w:t>
      </w:r>
    </w:p>
    <w:p w14:paraId="7AF36F0A">
      <w:pPr>
        <w:ind w:left="72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SUMO 作为开源微观交通仿真平台，覆盖从网络搭建、需求生成与指派、多模式交通、行人、模型增强到验证标定与多仿真器耦合的完整链条</w:t>
      </w:r>
      <w:r>
        <w:rPr>
          <w:rFonts w:hint="eastAsia" w:ascii="宋体" w:hAnsi="宋体" w:eastAsia="宋体"/>
        </w:rPr>
        <w:t>，其实</w:t>
      </w:r>
      <w:r>
        <w:rPr>
          <w:rFonts w:ascii="宋体" w:hAnsi="宋体" w:eastAsia="宋体"/>
        </w:rPr>
        <w:t>论文</w:t>
      </w: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的主题结构本身即这条链。其代价是陡峭的学习曲线与大量重复的仿真管理劳动</w:t>
      </w:r>
      <w:r>
        <w:rPr>
          <w:rFonts w:hint="eastAsia" w:ascii="宋体" w:hAnsi="宋体" w:eastAsia="宋体"/>
        </w:rPr>
        <w:t>，这是论文2对比得到的</w:t>
      </w:r>
      <w:r>
        <w:rPr>
          <w:rFonts w:ascii="宋体" w:hAnsi="宋体" w:eastAsia="宋体"/>
        </w:rPr>
        <w:t>。TUD-SUMO 通过简化接口、自动数据收集、事件系统与工程导向可视化，把这部分劳动标准化：基准测试显示代码量约省一半、圈复杂度降七至九成，代价是 1.7–3.6 倍运行时间——在运行时间不是第一优先级的研究与教学场景中，这笔交换是划算的。</w:t>
      </w:r>
    </w:p>
    <w:p w14:paraId="66BF49E9">
      <w:pPr>
        <w:tabs>
          <w:tab w:val="left" w:pos="720"/>
        </w:tabs>
        <w:ind w:left="72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一些</w:t>
      </w:r>
      <w:r>
        <w:rPr>
          <w:rFonts w:ascii="宋体" w:hAnsi="宋体" w:eastAsia="宋体"/>
          <w:b/>
          <w:bCs/>
        </w:rPr>
        <w:t>阅读感悟</w:t>
      </w:r>
      <w:r>
        <w:rPr>
          <w:rFonts w:hint="eastAsia" w:ascii="宋体" w:hAnsi="宋体" w:eastAsia="宋体"/>
          <w:b/>
          <w:bCs/>
        </w:rPr>
        <w:t>：</w:t>
      </w:r>
    </w:p>
    <w:p w14:paraId="278E8271">
      <w:pPr>
        <w:tabs>
          <w:tab w:val="left" w:pos="720"/>
        </w:tabs>
        <w:ind w:left="720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两篇论文构成"平台—上层工具"的完整叙事。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论文1</w:t>
      </w:r>
      <w:r>
        <w:rPr>
          <w:rFonts w:ascii="宋体" w:hAnsi="宋体" w:eastAsia="宋体"/>
        </w:rPr>
        <w:t>展示了 SUMO 从建网到验证的全谱能力，</w:t>
      </w:r>
      <w:r>
        <w:rPr>
          <w:rFonts w:hint="eastAsia" w:ascii="宋体" w:hAnsi="宋体" w:eastAsia="宋体"/>
        </w:rPr>
        <w:t>论文2</w:t>
      </w:r>
      <w:r>
        <w:rPr>
          <w:rFonts w:ascii="宋体" w:hAnsi="宋体" w:eastAsia="宋体"/>
        </w:rPr>
        <w:t>则瞄准平台没有解决的"最后一公里"：仿真管理与数据工程的重复劳动。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的两大贡献本质上不是新的仿真技术，而是把研究者反复重写的"脚手架"变成可复用模块——这是 wrapper 模式的一个教科书式案例</w:t>
      </w:r>
      <w:r>
        <w:rPr>
          <w:rFonts w:hint="eastAsia" w:ascii="宋体" w:hAnsi="宋体" w:eastAsia="宋体"/>
        </w:rPr>
        <w:t>，做了一个很好的工作，</w:t>
      </w:r>
      <w:r>
        <w:rPr>
          <w:rFonts w:ascii="宋体" w:hAnsi="宋体" w:eastAsia="宋体"/>
        </w:rPr>
        <w:t>不重造 SUMO，只在 TraCI 之上做薄封装，因此 TraCI 升级它就跟着受益。</w:t>
      </w:r>
    </w:p>
    <w:p w14:paraId="212EF27C">
      <w:pPr>
        <w:ind w:left="720"/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</w:rPr>
        <w:t>有</w:t>
      </w:r>
      <w:r>
        <w:rPr>
          <w:rFonts w:ascii="宋体" w:hAnsi="宋体" w:eastAsia="宋体"/>
          <w:b/>
          <w:bCs/>
        </w:rPr>
        <w:t>两个值得记住的工程判断。</w:t>
      </w:r>
      <w:r>
        <w:rPr>
          <w:rFonts w:ascii="宋体" w:hAnsi="宋体" w:eastAsia="宋体"/>
        </w:rPr>
        <w:t xml:space="preserve"> 其一，</w:t>
      </w:r>
      <w:r>
        <w:rPr>
          <w:rFonts w:hint="eastAsia" w:ascii="宋体" w:hAnsi="宋体" w:eastAsia="宋体"/>
        </w:rPr>
        <w:t>论文2</w:t>
      </w:r>
      <w:r>
        <w:rPr>
          <w:rFonts w:ascii="宋体" w:hAnsi="宋体" w:eastAsia="宋体"/>
        </w:rPr>
        <w:t>坚持"不含任何控制策略、只提供数据端点"——把算法主权留给研究者，工具只做"测量与执行"层，这使 TUD-SUMO 成为通用试验台而非某个方案的附属品；其二，</w:t>
      </w:r>
      <w:r>
        <w:rPr>
          <w:rFonts w:hint="eastAsia" w:ascii="宋体" w:hAnsi="宋体" w:eastAsia="宋体"/>
        </w:rPr>
        <w:t>论文1</w:t>
      </w:r>
      <w:r>
        <w:rPr>
          <w:rFonts w:ascii="宋体" w:hAnsi="宋体" w:eastAsia="宋体"/>
        </w:rPr>
        <w:t xml:space="preserve"> 的"RMSE 足矣、勿手工标定"，与 </w:t>
      </w:r>
      <w:r>
        <w:rPr>
          <w:rFonts w:hint="eastAsia" w:ascii="宋体" w:hAnsi="宋体" w:eastAsia="宋体"/>
        </w:rPr>
        <w:t>论文2</w:t>
      </w:r>
      <w:r>
        <w:rPr>
          <w:rFonts w:ascii="宋体" w:hAnsi="宋体" w:eastAsia="宋体"/>
        </w:rPr>
        <w:t>的事件文件化，共同指向可复现性这一仿真研究的底线。</w:t>
      </w:r>
    </w:p>
    <w:p w14:paraId="5EBF8FD5">
      <w:pPr>
        <w:ind w:left="720"/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</w:rPr>
        <w:t>阅读这两篇论文最大的感受是，其实</w:t>
      </w:r>
      <w:r>
        <w:rPr>
          <w:rFonts w:ascii="宋体" w:hAnsi="宋体" w:eastAsia="宋体"/>
          <w:b/>
          <w:bCs/>
        </w:rPr>
        <w:t>工具论文也可以很有方法论。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论文2</w:t>
      </w:r>
      <w:r>
        <w:rPr>
          <w:rFonts w:ascii="宋体" w:hAnsi="宋体" w:eastAsia="宋体"/>
        </w:rPr>
        <w:t xml:space="preserve"> 的基准设计（同种子、重复10次并报告变异系数、用圈复杂度作为"用户侧成本"指标、二维权衡图）量化了"省了多少人力、贵了多少算力"，这套写法对今后写工具/系统类论文很有参考价值。</w:t>
      </w:r>
    </w:p>
    <w:p w14:paraId="58CF1547">
      <w:pPr>
        <w:ind w:left="720"/>
        <w:rPr>
          <w:rFonts w:hint="eastAsia" w:ascii="宋体" w:hAnsi="宋体" w:eastAsia="宋体"/>
        </w:rPr>
      </w:pPr>
    </w:p>
    <w:p w14:paraId="183D5AE5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参考文献：</w:t>
      </w:r>
    </w:p>
    <w:p w14:paraId="05DB834B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[1] P. A. Lopez et al., “Microscopic traffic simulation using SUMO,” in 2018 21st Int. Conf. Intelligent Transportation Systems (ITSC), Maui, HI, USA, Nov. 2018, pp. 2575–2582, doi: 10.1109/ITSC.2018.8569938.</w:t>
      </w:r>
    </w:p>
    <w:p w14:paraId="2A64B7EA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[2] C. Evans, M. Rinaldi, H. Taale, and S. P. Hoogendoorn, “TUD-SUMO: A research-oriented SUMO wrapper for traffic simulation in Python,” Delft University of Technology, Delft, The Netherlands, 2026.</w:t>
      </w:r>
    </w:p>
    <w:p w14:paraId="4EC9EC45">
      <w:pPr>
        <w:ind w:left="720"/>
        <w:rPr>
          <w:rFonts w:hint="eastAsia" w:ascii="宋体" w:hAnsi="宋体" w:eastAsia="宋体"/>
          <w:lang w:val="en-US" w:eastAsia="zh-CN"/>
        </w:rPr>
      </w:pPr>
      <w:bookmarkStart w:id="0" w:name="_GoBack"/>
      <w:bookmarkEnd w:id="0"/>
    </w:p>
    <w:p w14:paraId="0A7162A7">
      <w:pPr>
        <w:rPr>
          <w:rFonts w:hint="eastAsia" w:ascii="宋体" w:hAnsi="宋体" w:eastAsia="宋体"/>
        </w:rPr>
      </w:pPr>
    </w:p>
    <w:p w14:paraId="584CBFFE">
      <w:pPr>
        <w:ind w:left="720"/>
        <w:rPr>
          <w:rFonts w:hint="eastAsia" w:ascii="宋体" w:hAnsi="宋体" w:eastAsia="宋体"/>
        </w:rPr>
      </w:pPr>
    </w:p>
    <w:p w14:paraId="7646B92F">
      <w:pPr>
        <w:ind w:left="720"/>
        <w:rPr>
          <w:rFonts w:hint="eastAsia" w:ascii="宋体" w:hAnsi="宋体" w:eastAsia="宋体"/>
        </w:rPr>
      </w:pPr>
    </w:p>
    <w:p w14:paraId="34ECA36D">
      <w:pPr>
        <w:ind w:left="720"/>
        <w:rPr>
          <w:rFonts w:hint="eastAsia" w:ascii="宋体" w:hAnsi="宋体" w:eastAsia="宋体"/>
        </w:rPr>
      </w:pPr>
    </w:p>
    <w:p w14:paraId="18C9FAB3">
      <w:pPr>
        <w:rPr>
          <w:rFonts w:hint="eastAsia"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A43"/>
    <w:rsid w:val="002A7A1B"/>
    <w:rsid w:val="002B2B07"/>
    <w:rsid w:val="006640CC"/>
    <w:rsid w:val="007D4A43"/>
    <w:rsid w:val="00850F20"/>
    <w:rsid w:val="00AA674D"/>
    <w:rsid w:val="00B01282"/>
    <w:rsid w:val="00C04B26"/>
    <w:rsid w:val="00DA2D4F"/>
    <w:rsid w:val="00F90130"/>
    <w:rsid w:val="7430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4949</Words>
  <Characters>5786</Characters>
  <Lines>43</Lines>
  <Paragraphs>12</Paragraphs>
  <TotalTime>164</TotalTime>
  <ScaleCrop>false</ScaleCrop>
  <LinksUpToDate>false</LinksUpToDate>
  <CharactersWithSpaces>5993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2026-09-23T08:30:00Z</dcterms:created>
  <dc:creator>雪蕊 任</dc:creator>
  <cp:lastModifiedBy>北落师门β</cp:lastModifiedBy>
  <dcterms:modified xsi:type="dcterms:W3CDTF">2026-09-23T11:16:45Z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eyJoZGlkIjoiNzU3MWE2NDRjOGVkZTg2ZmRjMDYxOWUzYmJjN2ZiYjAiLCJ1c2VySWQiOiIxMjg2MjExMzE4In0=</vt:lpwstr>
  </property>
  <property fmtid="{D5CDD505-2E9C-101B-9397-08002B2CF9AE}" pid="3" name="KSOProductBuildVer">
    <vt:lpwstr>2052-12.1.0.28505</vt:lpwstr>
  </property>
  <property fmtid="{D5CDD505-2E9C-101B-9397-08002B2CF9AE}" pid="4" name="ICV">
    <vt:lpwstr>12B09330CF3C42FE937E8DD833618A24_12</vt:lpwstr>
  </property>
</Properties>
</file>