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8F0FF">
      <w:pPr>
        <w:jc w:val="center"/>
      </w:pPr>
      <w:r>
        <w:rPr>
          <w:rFonts w:ascii="Times New Roman" w:hAnsi="Times New Roman" w:eastAsia="黑体"/>
          <w:b/>
          <w:sz w:val="34"/>
        </w:rPr>
        <w:t>交通仿真实验报告（二）</w:t>
      </w:r>
    </w:p>
    <w:p w14:paraId="7ED8ADBC">
      <w:pPr>
        <w:jc w:val="center"/>
      </w:pPr>
      <w:r>
        <w:rPr>
          <w:rFonts w:ascii="Times New Roman" w:hAnsi="Times New Roman" w:eastAsia="楷体"/>
          <w:color w:val="404040"/>
          <w:sz w:val="22"/>
        </w:rPr>
        <w:t>——SUMO/TUD-SUMO 微观交通仿真复现：以 Evans 等《TUD-SUMO: A research-oriented SUMO wrapper for traffic simulation in Python》（SoftwareX, 2026）为对象</w:t>
      </w:r>
    </w:p>
    <w:p w14:paraId="75629728">
      <w:pPr>
        <w:jc w:val="center"/>
        <w:rPr>
          <w:rFonts w:hint="default" w:eastAsia="宋体"/>
          <w:lang w:val="en-US" w:eastAsia="zh-CN"/>
        </w:rPr>
      </w:pPr>
      <w:r>
        <w:rPr>
          <w:rFonts w:eastAsia="宋体"/>
          <w:sz w:val="22"/>
        </w:rPr>
        <w:t>姓名：</w:t>
      </w:r>
      <w:r>
        <w:rPr>
          <w:rFonts w:hint="eastAsia"/>
          <w:sz w:val="22"/>
          <w:lang w:val="en-US" w:eastAsia="zh-CN"/>
        </w:rPr>
        <w:t>任雪蕊</w:t>
      </w:r>
      <w:r>
        <w:rPr>
          <w:rFonts w:eastAsia="宋体"/>
          <w:sz w:val="22"/>
        </w:rPr>
        <w:t>　学号：</w:t>
      </w:r>
      <w:r>
        <w:rPr>
          <w:rFonts w:hint="eastAsia"/>
          <w:sz w:val="22"/>
          <w:lang w:val="en-US" w:eastAsia="zh-CN"/>
        </w:rPr>
        <w:t>23301046</w:t>
      </w:r>
      <w:r>
        <w:rPr>
          <w:rFonts w:eastAsia="宋体"/>
          <w:sz w:val="22"/>
        </w:rPr>
        <w:t>　日期：</w:t>
      </w:r>
      <w:r>
        <w:rPr>
          <w:rFonts w:hint="eastAsia"/>
          <w:sz w:val="22"/>
          <w:lang w:val="en-US" w:eastAsia="zh-CN"/>
        </w:rPr>
        <w:t>9.23</w:t>
      </w:r>
    </w:p>
    <w:p w14:paraId="2790BFCA">
      <w:pPr>
        <w:pStyle w:val="3"/>
      </w:pPr>
      <w:r>
        <w:t>一、实验目的</w:t>
      </w:r>
    </w:p>
    <w:p w14:paraId="060960F9">
      <w:pPr>
        <w:ind w:firstLine="480"/>
      </w:pPr>
      <w:r>
        <w:rPr>
          <w:rFonts w:eastAsia="宋体"/>
          <w:b w:val="0"/>
        </w:rPr>
        <w:t>本次实验选择 SoftwareX 2026 年的 TUD-SUMO 工具论文作为复现对象。选择它有两方面原因：一是论文第 3 节给出了 5 个基准测试（Test A–E）的完整实验设定——场景几何、交通需求、测试步骤都有明确参数，可以逐条对应实现；二是该论文构建在 SUMO 之上，复现它必然要走完 SUMO 的完整流程（建路网、配需求、运行仿真、采集数据、用 Python 交互控制），正好覆盖实验要求的三个方面。复现过程中同时参考了 SUMO 官方综述（Lopez 等，IEEE ITSC 2018，下称论文A）中关于工作流、输出分类与验证方法的内容。</w:t>
      </w:r>
    </w:p>
    <w:p w14:paraId="19226DF6">
      <w:pPr>
        <w:ind w:firstLine="480"/>
      </w:pPr>
      <w:r>
        <w:rPr>
          <w:rFonts w:eastAsia="宋体"/>
          <w:b w:val="0"/>
        </w:rPr>
        <w:t>复现范围：论文 §2 的软件架构与功能（简化接口、自动数据收集、事件系统、工程可视化）；§3 的 Test A–E 五个基准测试；§4 中与原生 TraCI 对照的实验思路。论文 §4 完整的性能基准测试（圈复杂度等 6 项 KPI）依赖特定平台与静态代码分析工具，本实验以运行时对照替代，具体见 6.4 节的复现程度对照表。</w:t>
      </w:r>
    </w:p>
    <w:p w14:paraId="2B5212BB">
      <w:pPr>
        <w:pStyle w:val="3"/>
      </w:pPr>
      <w:r>
        <w:t>二、实验环境</w:t>
      </w:r>
    </w:p>
    <w:p w14:paraId="46D0E9C8">
      <w:pPr>
        <w:jc w:val="center"/>
      </w:pPr>
      <w:r>
        <w:rPr>
          <w:rFonts w:eastAsia="宋体"/>
          <w:b/>
          <w:sz w:val="21"/>
        </w:rPr>
        <w:t>表1　实验环境配置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7E0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2F3"/>
          </w:tcPr>
          <w:p w14:paraId="0FC0DC00">
            <w:pPr>
              <w:spacing w:after="0" w:line="240" w:lineRule="auto"/>
              <w:jc w:val="center"/>
            </w:pPr>
            <w:r>
              <w:rPr>
                <w:rFonts w:eastAsia="宋体"/>
                <w:b/>
                <w:sz w:val="21"/>
              </w:rPr>
              <w:t>项目</w:t>
            </w:r>
          </w:p>
        </w:tc>
        <w:tc>
          <w:tcPr>
            <w:tcW w:w="3120" w:type="dxa"/>
            <w:shd w:val="clear" w:color="auto" w:fill="D9E2F3"/>
          </w:tcPr>
          <w:p w14:paraId="143711FF">
            <w:pPr>
              <w:spacing w:after="0" w:line="240" w:lineRule="auto"/>
              <w:jc w:val="center"/>
            </w:pPr>
            <w:r>
              <w:rPr>
                <w:rFonts w:eastAsia="宋体"/>
                <w:b/>
                <w:sz w:val="21"/>
              </w:rPr>
              <w:t>配置</w:t>
            </w:r>
          </w:p>
        </w:tc>
        <w:tc>
          <w:tcPr>
            <w:tcW w:w="3120" w:type="dxa"/>
            <w:shd w:val="clear" w:color="auto" w:fill="D9E2F3"/>
          </w:tcPr>
          <w:p w14:paraId="31A75D49">
            <w:pPr>
              <w:spacing w:after="0" w:line="240" w:lineRule="auto"/>
              <w:jc w:val="center"/>
            </w:pPr>
            <w:r>
              <w:rPr>
                <w:rFonts w:eastAsia="宋体"/>
                <w:b/>
                <w:sz w:val="21"/>
              </w:rPr>
              <w:t>说明</w:t>
            </w:r>
          </w:p>
        </w:tc>
      </w:tr>
      <w:tr w14:paraId="58462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AF7C59D">
            <w:pPr>
              <w:spacing w:after="0" w:line="240" w:lineRule="auto"/>
              <w:jc w:val="center"/>
            </w:pPr>
            <w:r>
              <w:rPr>
                <w:rFonts w:eastAsia="宋体"/>
                <w:sz w:val="21"/>
              </w:rPr>
              <w:t>操作系统</w:t>
            </w:r>
          </w:p>
        </w:tc>
        <w:tc>
          <w:tcPr>
            <w:tcW w:w="3120" w:type="dxa"/>
          </w:tcPr>
          <w:p w14:paraId="4783F4A6">
            <w:pPr>
              <w:spacing w:after="0" w:line="240" w:lineRule="auto"/>
              <w:jc w:val="center"/>
            </w:pPr>
            <w:r>
              <w:rPr>
                <w:rFonts w:eastAsia="宋体"/>
                <w:sz w:val="21"/>
              </w:rPr>
              <w:t>Windows（64 位）</w:t>
            </w:r>
          </w:p>
        </w:tc>
        <w:tc>
          <w:tcPr>
            <w:tcW w:w="3120" w:type="dxa"/>
          </w:tcPr>
          <w:p w14:paraId="3930B38D">
            <w:pPr>
              <w:spacing w:after="0" w:line="240" w:lineRule="auto"/>
              <w:jc w:val="center"/>
            </w:pPr>
            <w:r>
              <w:rPr>
                <w:rFonts w:eastAsia="宋体"/>
                <w:sz w:val="21"/>
              </w:rPr>
              <w:t>—</w:t>
            </w:r>
          </w:p>
        </w:tc>
      </w:tr>
      <w:tr w14:paraId="6D0D5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FB60027">
            <w:pPr>
              <w:spacing w:after="0" w:line="240" w:lineRule="auto"/>
              <w:jc w:val="center"/>
            </w:pPr>
            <w:r>
              <w:rPr>
                <w:rFonts w:eastAsia="宋体"/>
                <w:sz w:val="21"/>
              </w:rPr>
              <w:t>仿真平台</w:t>
            </w:r>
          </w:p>
        </w:tc>
        <w:tc>
          <w:tcPr>
            <w:tcW w:w="3120" w:type="dxa"/>
          </w:tcPr>
          <w:p w14:paraId="472D7CE2">
            <w:pPr>
              <w:spacing w:after="0" w:line="240" w:lineRule="auto"/>
              <w:jc w:val="center"/>
            </w:pPr>
            <w:r>
              <w:rPr>
                <w:rFonts w:eastAsia="宋体"/>
                <w:sz w:val="21"/>
              </w:rPr>
              <w:t>Eclipse SUMO 1.27.1</w:t>
            </w:r>
          </w:p>
        </w:tc>
        <w:tc>
          <w:tcPr>
            <w:tcW w:w="3120" w:type="dxa"/>
          </w:tcPr>
          <w:p w14:paraId="4221413E">
            <w:pPr>
              <w:spacing w:after="0" w:line="240" w:lineRule="auto"/>
              <w:jc w:val="center"/>
            </w:pPr>
            <w:r>
              <w:rPr>
                <w:rFonts w:eastAsia="宋体"/>
                <w:sz w:val="21"/>
              </w:rPr>
              <w:t>官方安装包，含 sumo / sumo-gui / netconvert</w:t>
            </w:r>
          </w:p>
        </w:tc>
      </w:tr>
      <w:tr w14:paraId="5FD6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E232684">
            <w:pPr>
              <w:spacing w:after="0" w:line="240" w:lineRule="auto"/>
              <w:jc w:val="center"/>
            </w:pPr>
            <w:r>
              <w:rPr>
                <w:rFonts w:eastAsia="宋体"/>
                <w:sz w:val="21"/>
              </w:rPr>
              <w:t>Python</w:t>
            </w:r>
          </w:p>
        </w:tc>
        <w:tc>
          <w:tcPr>
            <w:tcW w:w="3120" w:type="dxa"/>
          </w:tcPr>
          <w:p w14:paraId="3954210D">
            <w:pPr>
              <w:spacing w:after="0" w:line="240" w:lineRule="auto"/>
              <w:jc w:val="center"/>
            </w:pPr>
            <w:r>
              <w:rPr>
                <w:rFonts w:eastAsia="宋体"/>
                <w:sz w:val="21"/>
              </w:rPr>
              <w:t>3.12.5</w:t>
            </w:r>
          </w:p>
        </w:tc>
        <w:tc>
          <w:tcPr>
            <w:tcW w:w="3120" w:type="dxa"/>
          </w:tcPr>
          <w:p w14:paraId="4B49E67B">
            <w:pPr>
              <w:spacing w:after="0" w:line="240" w:lineRule="auto"/>
              <w:jc w:val="center"/>
            </w:pPr>
            <w:r>
              <w:rPr>
                <w:rFonts w:eastAsia="宋体"/>
                <w:sz w:val="21"/>
              </w:rPr>
              <w:t>满足 TUD-SUMO 要求的 ≥3.10</w:t>
            </w:r>
          </w:p>
        </w:tc>
      </w:tr>
      <w:tr w14:paraId="41EE2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A12C8A1">
            <w:pPr>
              <w:spacing w:after="0" w:line="240" w:lineRule="auto"/>
              <w:jc w:val="center"/>
            </w:pPr>
            <w:r>
              <w:rPr>
                <w:rFonts w:eastAsia="宋体"/>
                <w:sz w:val="21"/>
              </w:rPr>
              <w:t>TUD-SUMO</w:t>
            </w:r>
          </w:p>
        </w:tc>
        <w:tc>
          <w:tcPr>
            <w:tcW w:w="3120" w:type="dxa"/>
          </w:tcPr>
          <w:p w14:paraId="60BAA95F">
            <w:pPr>
              <w:spacing w:after="0" w:line="240" w:lineRule="auto"/>
              <w:jc w:val="center"/>
            </w:pPr>
            <w:r>
              <w:rPr>
                <w:rFonts w:eastAsia="宋体"/>
                <w:sz w:val="21"/>
              </w:rPr>
              <w:t>3.3.2（PyPI，Apache-2.0）</w:t>
            </w:r>
          </w:p>
        </w:tc>
        <w:tc>
          <w:tcPr>
            <w:tcW w:w="3120" w:type="dxa"/>
          </w:tcPr>
          <w:p w14:paraId="5AC41FAC">
            <w:pPr>
              <w:spacing w:after="0" w:line="240" w:lineRule="auto"/>
              <w:jc w:val="center"/>
            </w:pPr>
            <w:r>
              <w:rPr>
                <w:rFonts w:eastAsia="宋体"/>
                <w:sz w:val="21"/>
              </w:rPr>
              <w:t>论文使用的同一工具（论文发表版为 v3.3.2）</w:t>
            </w:r>
          </w:p>
        </w:tc>
      </w:tr>
      <w:tr w14:paraId="18628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51C1B53">
            <w:pPr>
              <w:spacing w:after="0" w:line="240" w:lineRule="auto"/>
              <w:jc w:val="center"/>
            </w:pPr>
            <w:r>
              <w:rPr>
                <w:rFonts w:eastAsia="宋体"/>
                <w:sz w:val="21"/>
              </w:rPr>
              <w:t>traci / sumolib</w:t>
            </w:r>
          </w:p>
        </w:tc>
        <w:tc>
          <w:tcPr>
            <w:tcW w:w="3120" w:type="dxa"/>
          </w:tcPr>
          <w:p w14:paraId="13FF8427">
            <w:pPr>
              <w:spacing w:after="0" w:line="240" w:lineRule="auto"/>
              <w:jc w:val="center"/>
            </w:pPr>
            <w:r>
              <w:rPr>
                <w:rFonts w:eastAsia="宋体"/>
                <w:sz w:val="21"/>
              </w:rPr>
              <w:t>1.27.1</w:t>
            </w:r>
          </w:p>
        </w:tc>
        <w:tc>
          <w:tcPr>
            <w:tcW w:w="3120" w:type="dxa"/>
          </w:tcPr>
          <w:p w14:paraId="13BAB768">
            <w:pPr>
              <w:spacing w:after="0" w:line="240" w:lineRule="auto"/>
              <w:jc w:val="center"/>
            </w:pPr>
            <w:r>
              <w:rPr>
                <w:rFonts w:eastAsia="宋体"/>
                <w:sz w:val="21"/>
              </w:rPr>
              <w:t>与 SUMO 版本严格对应</w:t>
            </w:r>
          </w:p>
        </w:tc>
      </w:tr>
      <w:tr w14:paraId="181CB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021E0D3">
            <w:pPr>
              <w:spacing w:after="0" w:line="240" w:lineRule="auto"/>
              <w:jc w:val="center"/>
            </w:pPr>
            <w:r>
              <w:rPr>
                <w:rFonts w:eastAsia="宋体"/>
                <w:sz w:val="21"/>
              </w:rPr>
              <w:t>绘图与辅助</w:t>
            </w:r>
          </w:p>
        </w:tc>
        <w:tc>
          <w:tcPr>
            <w:tcW w:w="3120" w:type="dxa"/>
          </w:tcPr>
          <w:p w14:paraId="68701707">
            <w:pPr>
              <w:spacing w:after="0" w:line="240" w:lineRule="auto"/>
              <w:jc w:val="center"/>
            </w:pPr>
            <w:r>
              <w:rPr>
                <w:rFonts w:eastAsia="宋体"/>
                <w:sz w:val="21"/>
              </w:rPr>
              <w:t>matplotlib、tqdm、shapely、moviepy 等</w:t>
            </w:r>
          </w:p>
        </w:tc>
        <w:tc>
          <w:tcPr>
            <w:tcW w:w="3120" w:type="dxa"/>
          </w:tcPr>
          <w:p w14:paraId="0E623ADE">
            <w:pPr>
              <w:spacing w:after="0" w:line="240" w:lineRule="auto"/>
              <w:jc w:val="center"/>
            </w:pPr>
            <w:r>
              <w:rPr>
                <w:rFonts w:eastAsia="宋体"/>
                <w:sz w:val="21"/>
              </w:rPr>
              <w:t>按论文代码元数据 C7 的依赖清单核对安装</w:t>
            </w:r>
          </w:p>
        </w:tc>
      </w:tr>
    </w:tbl>
    <w:p w14:paraId="7FEB7E4B"/>
    <w:p w14:paraId="6DD38719">
      <w:pPr>
        <w:ind w:firstLine="480"/>
      </w:pPr>
      <w:r>
        <w:rPr>
          <w:rFonts w:eastAsia="宋体"/>
          <w:b w:val="0"/>
        </w:rPr>
        <w:t>安装说明：</w:t>
      </w:r>
      <w:r>
        <w:rPr>
          <w:rFonts w:hint="eastAsia"/>
          <w:b w:val="0"/>
          <w:lang w:val="en-US" w:eastAsia="zh-CN"/>
        </w:rPr>
        <w:t>采用</w:t>
      </w:r>
      <w:r>
        <w:rPr>
          <w:rFonts w:eastAsia="宋体"/>
          <w:b w:val="0"/>
        </w:rPr>
        <w:t>离线方式——从 PyPI 官方接口获取各包的 wheel 文件，解压到本地目录 _pylibs，再通过 PYTHONPATH 引用，效果等价于 pip install --target。实现见 scripts/setup_deps.py。traci/sumolib 选择的 1.27.1 版本与 SUMO 主程序版本严格一致，避免了接口不匹配的问题。</w:t>
      </w:r>
    </w:p>
    <w:p w14:paraId="1565AB3B">
      <w:pPr>
        <w:pStyle w:val="3"/>
      </w:pPr>
      <w:r>
        <w:t>三、仿真场景设计（对应论文 §3）</w:t>
      </w:r>
    </w:p>
    <w:p w14:paraId="5157A2AE">
      <w:pPr>
        <w:pStyle w:val="4"/>
      </w:pPr>
      <w:r>
        <w:t>3.1 路网几何</w:t>
      </w:r>
    </w:p>
    <w:p w14:paraId="2734D5DF">
      <w:pPr>
        <w:ind w:firstLine="480"/>
      </w:pPr>
      <w:r>
        <w:rPr>
          <w:rFonts w:eastAsia="宋体"/>
          <w:b w:val="0"/>
        </w:rPr>
        <w:t>场景为论文 Fig.3 所示的高速公路合流段：2 车道主线在汇入点接纳 1 条匝道后拓宽为 3 车道。路网由我们手写三个 XML 文件（节点、边、车道级连接）定义，再用 netconvert 编译为仿真用路网，这也是 SUMO标准建模流程。</w:t>
      </w:r>
    </w:p>
    <w:p w14:paraId="335B953A">
      <w:pPr>
        <w:jc w:val="center"/>
      </w:pPr>
      <w:r>
        <w:rPr>
          <w:rFonts w:eastAsia="宋体"/>
          <w:b/>
          <w:sz w:val="21"/>
        </w:rPr>
        <w:t>表2　路段定义（M 为汇入点，RM 为匝道信号灯节点）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14E2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D9E2F3"/>
          </w:tcPr>
          <w:p w14:paraId="05DD0B51">
            <w:pPr>
              <w:spacing w:after="0" w:line="240" w:lineRule="auto"/>
              <w:jc w:val="center"/>
            </w:pPr>
            <w:r>
              <w:rPr>
                <w:rFonts w:eastAsia="宋体"/>
                <w:b/>
                <w:sz w:val="21"/>
              </w:rPr>
              <w:t>边 ID</w:t>
            </w:r>
          </w:p>
        </w:tc>
        <w:tc>
          <w:tcPr>
            <w:tcW w:w="1872" w:type="dxa"/>
            <w:shd w:val="clear" w:color="auto" w:fill="D9E2F3"/>
          </w:tcPr>
          <w:p w14:paraId="570C9785">
            <w:pPr>
              <w:spacing w:after="0" w:line="240" w:lineRule="auto"/>
              <w:jc w:val="center"/>
            </w:pPr>
            <w:r>
              <w:rPr>
                <w:rFonts w:eastAsia="宋体"/>
                <w:b/>
                <w:sz w:val="21"/>
              </w:rPr>
              <w:t>起止</w:t>
            </w:r>
          </w:p>
        </w:tc>
        <w:tc>
          <w:tcPr>
            <w:tcW w:w="1872" w:type="dxa"/>
            <w:shd w:val="clear" w:color="auto" w:fill="D9E2F3"/>
          </w:tcPr>
          <w:p w14:paraId="4EEE8339">
            <w:pPr>
              <w:spacing w:after="0" w:line="240" w:lineRule="auto"/>
              <w:jc w:val="center"/>
            </w:pPr>
            <w:r>
              <w:rPr>
                <w:rFonts w:eastAsia="宋体"/>
                <w:b/>
                <w:sz w:val="21"/>
              </w:rPr>
              <w:t>车道数</w:t>
            </w:r>
          </w:p>
        </w:tc>
        <w:tc>
          <w:tcPr>
            <w:tcW w:w="1872" w:type="dxa"/>
            <w:shd w:val="clear" w:color="auto" w:fill="D9E2F3"/>
          </w:tcPr>
          <w:p w14:paraId="482A5EB8">
            <w:pPr>
              <w:spacing w:after="0" w:line="240" w:lineRule="auto"/>
              <w:jc w:val="center"/>
            </w:pPr>
            <w:r>
              <w:rPr>
                <w:rFonts w:eastAsia="宋体"/>
                <w:b/>
                <w:sz w:val="21"/>
              </w:rPr>
              <w:t>限速</w:t>
            </w:r>
          </w:p>
        </w:tc>
        <w:tc>
          <w:tcPr>
            <w:tcW w:w="1872" w:type="dxa"/>
            <w:shd w:val="clear" w:color="auto" w:fill="D9E2F3"/>
          </w:tcPr>
          <w:p w14:paraId="55C830BD">
            <w:pPr>
              <w:spacing w:after="0" w:line="240" w:lineRule="auto"/>
              <w:jc w:val="center"/>
            </w:pPr>
            <w:r>
              <w:rPr>
                <w:rFonts w:eastAsia="宋体"/>
                <w:b/>
                <w:sz w:val="21"/>
              </w:rPr>
              <w:t>功能</w:t>
            </w:r>
          </w:p>
        </w:tc>
      </w:tr>
      <w:tr w14:paraId="69422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D5F59A4">
            <w:pPr>
              <w:spacing w:after="0" w:line="240" w:lineRule="auto"/>
              <w:jc w:val="center"/>
            </w:pPr>
            <w:r>
              <w:rPr>
                <w:rFonts w:eastAsia="宋体"/>
                <w:sz w:val="21"/>
              </w:rPr>
              <w:t>main1</w:t>
            </w:r>
          </w:p>
        </w:tc>
        <w:tc>
          <w:tcPr>
            <w:tcW w:w="1872" w:type="dxa"/>
          </w:tcPr>
          <w:p w14:paraId="42AD9351">
            <w:pPr>
              <w:spacing w:after="0" w:line="240" w:lineRule="auto"/>
              <w:jc w:val="center"/>
            </w:pPr>
            <w:r>
              <w:rPr>
                <w:rFonts w:eastAsia="宋体"/>
                <w:sz w:val="21"/>
              </w:rPr>
              <w:t>W → M</w:t>
            </w:r>
          </w:p>
        </w:tc>
        <w:tc>
          <w:tcPr>
            <w:tcW w:w="1872" w:type="dxa"/>
          </w:tcPr>
          <w:p w14:paraId="6388F090">
            <w:pPr>
              <w:spacing w:after="0" w:line="240" w:lineRule="auto"/>
              <w:jc w:val="center"/>
            </w:pPr>
            <w:r>
              <w:rPr>
                <w:rFonts w:eastAsia="宋体"/>
                <w:sz w:val="21"/>
              </w:rPr>
              <w:t>2</w:t>
            </w:r>
          </w:p>
        </w:tc>
        <w:tc>
          <w:tcPr>
            <w:tcW w:w="1872" w:type="dxa"/>
          </w:tcPr>
          <w:p w14:paraId="011EB77A">
            <w:pPr>
              <w:spacing w:after="0" w:line="240" w:lineRule="auto"/>
              <w:jc w:val="center"/>
            </w:pPr>
            <w:r>
              <w:rPr>
                <w:rFonts w:eastAsia="宋体"/>
                <w:sz w:val="21"/>
              </w:rPr>
              <w:t>120 km/h</w:t>
            </w:r>
          </w:p>
        </w:tc>
        <w:tc>
          <w:tcPr>
            <w:tcW w:w="1872" w:type="dxa"/>
          </w:tcPr>
          <w:p w14:paraId="12FA7859">
            <w:pPr>
              <w:spacing w:after="0" w:line="240" w:lineRule="auto"/>
              <w:jc w:val="center"/>
            </w:pPr>
            <w:r>
              <w:rPr>
                <w:rFonts w:eastAsia="宋体"/>
                <w:sz w:val="21"/>
              </w:rPr>
              <w:t>主线上游段</w:t>
            </w:r>
          </w:p>
        </w:tc>
      </w:tr>
      <w:tr w14:paraId="7007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9DAF4D8">
            <w:pPr>
              <w:spacing w:after="0" w:line="240" w:lineRule="auto"/>
              <w:jc w:val="center"/>
            </w:pPr>
            <w:r>
              <w:rPr>
                <w:rFonts w:eastAsia="宋体"/>
                <w:sz w:val="21"/>
              </w:rPr>
              <w:t>main2</w:t>
            </w:r>
          </w:p>
        </w:tc>
        <w:tc>
          <w:tcPr>
            <w:tcW w:w="1872" w:type="dxa"/>
          </w:tcPr>
          <w:p w14:paraId="52AA4395">
            <w:pPr>
              <w:spacing w:after="0" w:line="240" w:lineRule="auto"/>
              <w:jc w:val="center"/>
            </w:pPr>
            <w:r>
              <w:rPr>
                <w:rFonts w:eastAsia="宋体"/>
                <w:sz w:val="21"/>
              </w:rPr>
              <w:t>M → E</w:t>
            </w:r>
          </w:p>
        </w:tc>
        <w:tc>
          <w:tcPr>
            <w:tcW w:w="1872" w:type="dxa"/>
          </w:tcPr>
          <w:p w14:paraId="5176BEAC">
            <w:pPr>
              <w:spacing w:after="0" w:line="240" w:lineRule="auto"/>
              <w:jc w:val="center"/>
            </w:pPr>
            <w:r>
              <w:rPr>
                <w:rFonts w:eastAsia="宋体"/>
                <w:sz w:val="21"/>
              </w:rPr>
              <w:t>3</w:t>
            </w:r>
          </w:p>
        </w:tc>
        <w:tc>
          <w:tcPr>
            <w:tcW w:w="1872" w:type="dxa"/>
          </w:tcPr>
          <w:p w14:paraId="03E8EEA5">
            <w:pPr>
              <w:spacing w:after="0" w:line="240" w:lineRule="auto"/>
              <w:jc w:val="center"/>
            </w:pPr>
            <w:r>
              <w:rPr>
                <w:rFonts w:eastAsia="宋体"/>
                <w:sz w:val="21"/>
              </w:rPr>
              <w:t>120 km/h</w:t>
            </w:r>
          </w:p>
        </w:tc>
        <w:tc>
          <w:tcPr>
            <w:tcW w:w="1872" w:type="dxa"/>
          </w:tcPr>
          <w:p w14:paraId="03ECD8EA">
            <w:pPr>
              <w:spacing w:after="0" w:line="240" w:lineRule="auto"/>
              <w:jc w:val="center"/>
            </w:pPr>
            <w:r>
              <w:rPr>
                <w:rFonts w:eastAsia="宋体"/>
                <w:sz w:val="21"/>
              </w:rPr>
              <w:t>汇入段（最外侧车道为匝道加速车道）</w:t>
            </w:r>
          </w:p>
        </w:tc>
      </w:tr>
      <w:tr w14:paraId="3F26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C6EF19B">
            <w:pPr>
              <w:spacing w:after="0" w:line="240" w:lineRule="auto"/>
              <w:jc w:val="center"/>
            </w:pPr>
            <w:r>
              <w:rPr>
                <w:rFonts w:eastAsia="宋体"/>
                <w:sz w:val="21"/>
              </w:rPr>
              <w:t>ramp1</w:t>
            </w:r>
          </w:p>
        </w:tc>
        <w:tc>
          <w:tcPr>
            <w:tcW w:w="1872" w:type="dxa"/>
          </w:tcPr>
          <w:p w14:paraId="2319EF47">
            <w:pPr>
              <w:spacing w:after="0" w:line="240" w:lineRule="auto"/>
              <w:jc w:val="center"/>
            </w:pPr>
            <w:r>
              <w:rPr>
                <w:rFonts w:eastAsia="宋体"/>
                <w:sz w:val="21"/>
              </w:rPr>
              <w:t>S → RM</w:t>
            </w:r>
          </w:p>
        </w:tc>
        <w:tc>
          <w:tcPr>
            <w:tcW w:w="1872" w:type="dxa"/>
          </w:tcPr>
          <w:p w14:paraId="55DE103D">
            <w:pPr>
              <w:spacing w:after="0" w:line="240" w:lineRule="auto"/>
              <w:jc w:val="center"/>
            </w:pPr>
            <w:r>
              <w:rPr>
                <w:rFonts w:eastAsia="宋体"/>
                <w:sz w:val="21"/>
              </w:rPr>
              <w:t>1</w:t>
            </w:r>
          </w:p>
        </w:tc>
        <w:tc>
          <w:tcPr>
            <w:tcW w:w="1872" w:type="dxa"/>
          </w:tcPr>
          <w:p w14:paraId="2F8481A5">
            <w:pPr>
              <w:spacing w:after="0" w:line="240" w:lineRule="auto"/>
              <w:jc w:val="center"/>
            </w:pPr>
            <w:r>
              <w:rPr>
                <w:rFonts w:eastAsia="宋体"/>
                <w:sz w:val="21"/>
              </w:rPr>
              <w:t>90 km/h</w:t>
            </w:r>
          </w:p>
        </w:tc>
        <w:tc>
          <w:tcPr>
            <w:tcW w:w="1872" w:type="dxa"/>
          </w:tcPr>
          <w:p w14:paraId="08417F99">
            <w:pPr>
              <w:spacing w:after="0" w:line="240" w:lineRule="auto"/>
              <w:jc w:val="center"/>
            </w:pPr>
            <w:r>
              <w:rPr>
                <w:rFonts w:eastAsia="宋体"/>
                <w:sz w:val="21"/>
              </w:rPr>
              <w:t>匝道上游段（停车线之前）</w:t>
            </w:r>
          </w:p>
        </w:tc>
      </w:tr>
      <w:tr w14:paraId="22F52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32FAD2F">
            <w:pPr>
              <w:spacing w:after="0" w:line="240" w:lineRule="auto"/>
              <w:jc w:val="center"/>
            </w:pPr>
            <w:r>
              <w:rPr>
                <w:rFonts w:eastAsia="宋体"/>
                <w:sz w:val="21"/>
              </w:rPr>
              <w:t>ramp2</w:t>
            </w:r>
          </w:p>
        </w:tc>
        <w:tc>
          <w:tcPr>
            <w:tcW w:w="1872" w:type="dxa"/>
          </w:tcPr>
          <w:p w14:paraId="32C81B29">
            <w:pPr>
              <w:spacing w:after="0" w:line="240" w:lineRule="auto"/>
              <w:jc w:val="center"/>
            </w:pPr>
            <w:r>
              <w:rPr>
                <w:rFonts w:eastAsia="宋体"/>
                <w:sz w:val="21"/>
              </w:rPr>
              <w:t>RM → M</w:t>
            </w:r>
          </w:p>
        </w:tc>
        <w:tc>
          <w:tcPr>
            <w:tcW w:w="1872" w:type="dxa"/>
          </w:tcPr>
          <w:p w14:paraId="35E517A2">
            <w:pPr>
              <w:spacing w:after="0" w:line="240" w:lineRule="auto"/>
              <w:jc w:val="center"/>
            </w:pPr>
            <w:r>
              <w:rPr>
                <w:rFonts w:eastAsia="宋体"/>
                <w:sz w:val="21"/>
              </w:rPr>
              <w:t>1</w:t>
            </w:r>
          </w:p>
        </w:tc>
        <w:tc>
          <w:tcPr>
            <w:tcW w:w="1872" w:type="dxa"/>
          </w:tcPr>
          <w:p w14:paraId="1A7727B8">
            <w:pPr>
              <w:spacing w:after="0" w:line="240" w:lineRule="auto"/>
              <w:jc w:val="center"/>
            </w:pPr>
            <w:r>
              <w:rPr>
                <w:rFonts w:eastAsia="宋体"/>
                <w:sz w:val="21"/>
              </w:rPr>
              <w:t>90 km/h</w:t>
            </w:r>
          </w:p>
        </w:tc>
        <w:tc>
          <w:tcPr>
            <w:tcW w:w="1872" w:type="dxa"/>
          </w:tcPr>
          <w:p w14:paraId="2401927E">
            <w:pPr>
              <w:spacing w:after="0" w:line="240" w:lineRule="auto"/>
              <w:jc w:val="center"/>
            </w:pPr>
            <w:r>
              <w:rPr>
                <w:rFonts w:eastAsia="宋体"/>
                <w:sz w:val="21"/>
              </w:rPr>
              <w:t>匝道下游段（信号灯到汇入点）</w:t>
            </w:r>
          </w:p>
        </w:tc>
      </w:tr>
    </w:tbl>
    <w:p w14:paraId="1F202142"/>
    <w:p w14:paraId="589AED43">
      <w:pPr>
        <w:ind w:firstLine="480"/>
      </w:pPr>
      <w:r>
        <w:rPr>
          <w:rFonts w:eastAsia="宋体"/>
          <w:b w:val="0"/>
        </w:rPr>
        <w:t>汇入点几何是本场景设计的关键。最初直接把匝道汇入 2 车道主线的外侧车道，仿真时出现匝道排死队而主线畅通的异常（详见第五节问题 3）。修改后的设计是：主线两条车道在汇入点整体向内平移一条车道（l0→l1、l1→l2），匝道接入最外侧专用车道，三条车流路径互不交叉，汇入点处零冲突，真正的合流由下游路段的换道模型（LC2013）以真实方式完成。这一画法与论文 Fig.3 的网络一致。</w:t>
      </w:r>
    </w:p>
    <w:p w14:paraId="4666D168">
      <w:pPr>
        <w:pStyle w:val="4"/>
      </w:pPr>
      <w:r>
        <w:t>3.2 交通需求</w:t>
      </w:r>
    </w:p>
    <w:p w14:paraId="78FCE72D">
      <w:pPr>
        <w:ind w:firstLine="480"/>
      </w:pPr>
      <w:r>
        <w:rPr>
          <w:rFonts w:eastAsia="宋体"/>
          <w:b w:val="0"/>
        </w:rPr>
        <w:t>交通需求完全按论文 §3 的设定配置：仿真时长 2000 s，匝道需求恒定 500 veh/h，主线需求 1000 veh/h 并在400–1600 s 之间增至 1500 veh/h，之后回落。车辆为同一种小汽车类型（长 5 m，期望速度 120 km/h 范围内按正态分布取速度因子）。</w:t>
      </w:r>
    </w:p>
    <w:p w14:paraId="3CDF24A1">
      <w:pPr>
        <w:jc w:val="center"/>
      </w:pPr>
      <w:r>
        <w:rPr>
          <w:rFonts w:eastAsia="宋体"/>
          <w:b/>
          <w:sz w:val="21"/>
        </w:rPr>
        <w:t>表3　交通需求设置（对应论文 §3 的需求描述）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4EFBB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D9E2F3"/>
          </w:tcPr>
          <w:p w14:paraId="2B2B18AA">
            <w:pPr>
              <w:spacing w:after="0" w:line="240" w:lineRule="auto"/>
              <w:jc w:val="center"/>
            </w:pPr>
            <w:r>
              <w:rPr>
                <w:rFonts w:eastAsia="宋体"/>
                <w:b/>
                <w:sz w:val="21"/>
              </w:rPr>
              <w:t>流量编号</w:t>
            </w:r>
          </w:p>
        </w:tc>
        <w:tc>
          <w:tcPr>
            <w:tcW w:w="2340" w:type="dxa"/>
            <w:shd w:val="clear" w:color="auto" w:fill="D9E2F3"/>
          </w:tcPr>
          <w:p w14:paraId="33D2D0E9">
            <w:pPr>
              <w:spacing w:after="0" w:line="240" w:lineRule="auto"/>
              <w:jc w:val="center"/>
            </w:pPr>
            <w:r>
              <w:rPr>
                <w:rFonts w:eastAsia="宋体"/>
                <w:b/>
                <w:sz w:val="21"/>
              </w:rPr>
              <w:t>路径</w:t>
            </w:r>
          </w:p>
        </w:tc>
        <w:tc>
          <w:tcPr>
            <w:tcW w:w="2340" w:type="dxa"/>
            <w:shd w:val="clear" w:color="auto" w:fill="D9E2F3"/>
          </w:tcPr>
          <w:p w14:paraId="083CC053">
            <w:pPr>
              <w:spacing w:after="0" w:line="240" w:lineRule="auto"/>
              <w:jc w:val="center"/>
            </w:pPr>
            <w:r>
              <w:rPr>
                <w:rFonts w:eastAsia="宋体"/>
                <w:b/>
                <w:sz w:val="21"/>
              </w:rPr>
              <w:t>时间范围 (s)</w:t>
            </w:r>
          </w:p>
        </w:tc>
        <w:tc>
          <w:tcPr>
            <w:tcW w:w="2340" w:type="dxa"/>
            <w:shd w:val="clear" w:color="auto" w:fill="D9E2F3"/>
          </w:tcPr>
          <w:p w14:paraId="22111CFA">
            <w:pPr>
              <w:spacing w:after="0" w:line="240" w:lineRule="auto"/>
              <w:jc w:val="center"/>
            </w:pPr>
            <w:r>
              <w:rPr>
                <w:rFonts w:eastAsia="宋体"/>
                <w:b/>
                <w:sz w:val="21"/>
              </w:rPr>
              <w:t>流率 (veh/h)</w:t>
            </w:r>
          </w:p>
        </w:tc>
      </w:tr>
      <w:tr w14:paraId="66DC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39CF25A0">
            <w:pPr>
              <w:spacing w:after="0" w:line="240" w:lineRule="auto"/>
              <w:jc w:val="center"/>
            </w:pPr>
            <w:r>
              <w:rPr>
                <w:rFonts w:eastAsia="宋体"/>
                <w:sz w:val="21"/>
              </w:rPr>
              <w:t>main_a</w:t>
            </w:r>
          </w:p>
        </w:tc>
        <w:tc>
          <w:tcPr>
            <w:tcW w:w="2340" w:type="dxa"/>
          </w:tcPr>
          <w:p w14:paraId="32D0669C">
            <w:pPr>
              <w:spacing w:after="0" w:line="240" w:lineRule="auto"/>
              <w:jc w:val="center"/>
            </w:pPr>
            <w:r>
              <w:rPr>
                <w:rFonts w:eastAsia="宋体"/>
                <w:sz w:val="21"/>
              </w:rPr>
              <w:t>main1 → main2</w:t>
            </w:r>
          </w:p>
        </w:tc>
        <w:tc>
          <w:tcPr>
            <w:tcW w:w="2340" w:type="dxa"/>
          </w:tcPr>
          <w:p w14:paraId="6FBB601C">
            <w:pPr>
              <w:spacing w:after="0" w:line="240" w:lineRule="auto"/>
              <w:jc w:val="center"/>
            </w:pPr>
            <w:r>
              <w:rPr>
                <w:rFonts w:eastAsia="宋体"/>
                <w:sz w:val="21"/>
              </w:rPr>
              <w:t>0 – 400</w:t>
            </w:r>
          </w:p>
        </w:tc>
        <w:tc>
          <w:tcPr>
            <w:tcW w:w="2340" w:type="dxa"/>
          </w:tcPr>
          <w:p w14:paraId="5AE523CE">
            <w:pPr>
              <w:spacing w:after="0" w:line="240" w:lineRule="auto"/>
              <w:jc w:val="center"/>
            </w:pPr>
            <w:r>
              <w:rPr>
                <w:rFonts w:eastAsia="宋体"/>
                <w:sz w:val="21"/>
              </w:rPr>
              <w:t>1000</w:t>
            </w:r>
          </w:p>
        </w:tc>
      </w:tr>
      <w:tr w14:paraId="2F9D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38E9DFD3">
            <w:pPr>
              <w:spacing w:after="0" w:line="240" w:lineRule="auto"/>
              <w:jc w:val="center"/>
            </w:pPr>
            <w:r>
              <w:rPr>
                <w:rFonts w:eastAsia="宋体"/>
                <w:sz w:val="21"/>
              </w:rPr>
              <w:t>ramp_a</w:t>
            </w:r>
          </w:p>
        </w:tc>
        <w:tc>
          <w:tcPr>
            <w:tcW w:w="2340" w:type="dxa"/>
          </w:tcPr>
          <w:p w14:paraId="35CC41D2">
            <w:pPr>
              <w:spacing w:after="0" w:line="240" w:lineRule="auto"/>
              <w:jc w:val="center"/>
            </w:pPr>
            <w:r>
              <w:rPr>
                <w:rFonts w:eastAsia="宋体"/>
                <w:sz w:val="21"/>
              </w:rPr>
              <w:t>ramp1 → ramp2 → main2</w:t>
            </w:r>
          </w:p>
        </w:tc>
        <w:tc>
          <w:tcPr>
            <w:tcW w:w="2340" w:type="dxa"/>
          </w:tcPr>
          <w:p w14:paraId="04145D10">
            <w:pPr>
              <w:spacing w:after="0" w:line="240" w:lineRule="auto"/>
              <w:jc w:val="center"/>
            </w:pPr>
            <w:r>
              <w:rPr>
                <w:rFonts w:eastAsia="宋体"/>
                <w:sz w:val="21"/>
              </w:rPr>
              <w:t>0 – 2000</w:t>
            </w:r>
          </w:p>
        </w:tc>
        <w:tc>
          <w:tcPr>
            <w:tcW w:w="2340" w:type="dxa"/>
          </w:tcPr>
          <w:p w14:paraId="20E022F3">
            <w:pPr>
              <w:spacing w:after="0" w:line="240" w:lineRule="auto"/>
              <w:jc w:val="center"/>
            </w:pPr>
            <w:r>
              <w:rPr>
                <w:rFonts w:eastAsia="宋体"/>
                <w:sz w:val="21"/>
              </w:rPr>
              <w:t>500</w:t>
            </w:r>
          </w:p>
        </w:tc>
      </w:tr>
      <w:tr w14:paraId="04CE4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4A4BDE65">
            <w:pPr>
              <w:spacing w:after="0" w:line="240" w:lineRule="auto"/>
              <w:jc w:val="center"/>
            </w:pPr>
            <w:r>
              <w:rPr>
                <w:rFonts w:eastAsia="宋体"/>
                <w:sz w:val="21"/>
              </w:rPr>
              <w:t>main_b</w:t>
            </w:r>
          </w:p>
        </w:tc>
        <w:tc>
          <w:tcPr>
            <w:tcW w:w="2340" w:type="dxa"/>
          </w:tcPr>
          <w:p w14:paraId="135992B4">
            <w:pPr>
              <w:spacing w:after="0" w:line="240" w:lineRule="auto"/>
              <w:jc w:val="center"/>
            </w:pPr>
            <w:r>
              <w:rPr>
                <w:rFonts w:eastAsia="宋体"/>
                <w:sz w:val="21"/>
              </w:rPr>
              <w:t>main1 → main2</w:t>
            </w:r>
          </w:p>
        </w:tc>
        <w:tc>
          <w:tcPr>
            <w:tcW w:w="2340" w:type="dxa"/>
          </w:tcPr>
          <w:p w14:paraId="6ECD5A5E">
            <w:pPr>
              <w:spacing w:after="0" w:line="240" w:lineRule="auto"/>
              <w:jc w:val="center"/>
            </w:pPr>
            <w:r>
              <w:rPr>
                <w:rFonts w:eastAsia="宋体"/>
                <w:sz w:val="21"/>
              </w:rPr>
              <w:t>400 – 1600</w:t>
            </w:r>
          </w:p>
        </w:tc>
        <w:tc>
          <w:tcPr>
            <w:tcW w:w="2340" w:type="dxa"/>
          </w:tcPr>
          <w:p w14:paraId="6C408DBF">
            <w:pPr>
              <w:spacing w:after="0" w:line="240" w:lineRule="auto"/>
              <w:jc w:val="center"/>
            </w:pPr>
            <w:r>
              <w:rPr>
                <w:rFonts w:eastAsia="宋体"/>
                <w:sz w:val="21"/>
              </w:rPr>
              <w:t>1500</w:t>
            </w:r>
          </w:p>
        </w:tc>
      </w:tr>
      <w:tr w14:paraId="58D15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4D357FED">
            <w:pPr>
              <w:spacing w:after="0" w:line="240" w:lineRule="auto"/>
              <w:jc w:val="center"/>
            </w:pPr>
            <w:r>
              <w:rPr>
                <w:rFonts w:eastAsia="宋体"/>
                <w:sz w:val="21"/>
              </w:rPr>
              <w:t>main_c</w:t>
            </w:r>
          </w:p>
        </w:tc>
        <w:tc>
          <w:tcPr>
            <w:tcW w:w="2340" w:type="dxa"/>
          </w:tcPr>
          <w:p w14:paraId="222F3181">
            <w:pPr>
              <w:spacing w:after="0" w:line="240" w:lineRule="auto"/>
              <w:jc w:val="center"/>
            </w:pPr>
            <w:r>
              <w:rPr>
                <w:rFonts w:eastAsia="宋体"/>
                <w:sz w:val="21"/>
              </w:rPr>
              <w:t>main1 → main2</w:t>
            </w:r>
          </w:p>
        </w:tc>
        <w:tc>
          <w:tcPr>
            <w:tcW w:w="2340" w:type="dxa"/>
          </w:tcPr>
          <w:p w14:paraId="1CE01021">
            <w:pPr>
              <w:spacing w:after="0" w:line="240" w:lineRule="auto"/>
              <w:jc w:val="center"/>
            </w:pPr>
            <w:r>
              <w:rPr>
                <w:rFonts w:eastAsia="宋体"/>
                <w:sz w:val="21"/>
              </w:rPr>
              <w:t>1600 – 2000</w:t>
            </w:r>
          </w:p>
        </w:tc>
        <w:tc>
          <w:tcPr>
            <w:tcW w:w="2340" w:type="dxa"/>
          </w:tcPr>
          <w:p w14:paraId="52A1B584">
            <w:pPr>
              <w:spacing w:after="0" w:line="240" w:lineRule="auto"/>
              <w:jc w:val="center"/>
            </w:pPr>
            <w:r>
              <w:rPr>
                <w:rFonts w:eastAsia="宋体"/>
                <w:sz w:val="21"/>
              </w:rPr>
              <w:t>1000</w:t>
            </w:r>
          </w:p>
        </w:tc>
      </w:tr>
    </w:tbl>
    <w:p w14:paraId="7830CF76"/>
    <w:p w14:paraId="072F38C2">
      <w:pPr>
        <w:pStyle w:val="4"/>
      </w:pPr>
      <w:r>
        <w:t>3.3 检测器布设与输出</w:t>
      </w:r>
    </w:p>
    <w:p w14:paraId="438BA62A">
      <w:pPr>
        <w:ind w:firstLine="480"/>
      </w:pPr>
      <w:r>
        <w:rPr>
          <w:rFonts w:eastAsia="宋体"/>
          <w:b w:val="0"/>
        </w:rPr>
        <w:t>在路网中布设了 5 个 E1 线圈检测器（induction loop），每 1 s 聚合一次输出，同时开启每 120 s 按边聚合的edgedata、逐车行程记录 tripinfo 与逐步全网汇总 summary。TUD-SUMO 在此之外还会自动收集一套标准化仿真数据（JSON），二者互为印证。</w:t>
      </w:r>
    </w:p>
    <w:p w14:paraId="62BDEDC5">
      <w:pPr>
        <w:jc w:val="center"/>
      </w:pPr>
      <w:r>
        <w:rPr>
          <w:rFonts w:eastAsia="宋体"/>
          <w:b/>
          <w:sz w:val="21"/>
        </w:rPr>
        <w:t>表4　E1 线圈检测器布设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4619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2F3"/>
          </w:tcPr>
          <w:p w14:paraId="7206E9DA">
            <w:pPr>
              <w:spacing w:after="0" w:line="240" w:lineRule="auto"/>
              <w:jc w:val="center"/>
            </w:pPr>
            <w:r>
              <w:rPr>
                <w:rFonts w:eastAsia="宋体"/>
                <w:b/>
                <w:sz w:val="21"/>
              </w:rPr>
              <w:t>检测器</w:t>
            </w:r>
          </w:p>
        </w:tc>
        <w:tc>
          <w:tcPr>
            <w:tcW w:w="3120" w:type="dxa"/>
            <w:shd w:val="clear" w:color="auto" w:fill="D9E2F3"/>
          </w:tcPr>
          <w:p w14:paraId="480DCC85">
            <w:pPr>
              <w:spacing w:after="0" w:line="240" w:lineRule="auto"/>
              <w:jc w:val="center"/>
            </w:pPr>
            <w:r>
              <w:rPr>
                <w:rFonts w:eastAsia="宋体"/>
                <w:b/>
                <w:sz w:val="21"/>
              </w:rPr>
              <w:t>位置</w:t>
            </w:r>
          </w:p>
        </w:tc>
        <w:tc>
          <w:tcPr>
            <w:tcW w:w="3120" w:type="dxa"/>
            <w:shd w:val="clear" w:color="auto" w:fill="D9E2F3"/>
          </w:tcPr>
          <w:p w14:paraId="337D5557">
            <w:pPr>
              <w:spacing w:after="0" w:line="240" w:lineRule="auto"/>
              <w:jc w:val="center"/>
            </w:pPr>
            <w:r>
              <w:rPr>
                <w:rFonts w:eastAsia="宋体"/>
                <w:b/>
                <w:sz w:val="21"/>
              </w:rPr>
              <w:t>用途</w:t>
            </w:r>
          </w:p>
        </w:tc>
      </w:tr>
      <w:tr w14:paraId="703A6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11D6C2F">
            <w:pPr>
              <w:spacing w:after="0" w:line="240" w:lineRule="auto"/>
              <w:jc w:val="center"/>
            </w:pPr>
            <w:r>
              <w:rPr>
                <w:rFonts w:eastAsia="宋体"/>
                <w:sz w:val="21"/>
              </w:rPr>
              <w:t>m1_d0 / m1_d1</w:t>
            </w:r>
          </w:p>
        </w:tc>
        <w:tc>
          <w:tcPr>
            <w:tcW w:w="3120" w:type="dxa"/>
          </w:tcPr>
          <w:p w14:paraId="543FA8C6">
            <w:pPr>
              <w:spacing w:after="0" w:line="240" w:lineRule="auto"/>
              <w:jc w:val="center"/>
            </w:pPr>
            <w:r>
              <w:rPr>
                <w:rFonts w:eastAsia="宋体"/>
                <w:sz w:val="21"/>
              </w:rPr>
              <w:t>主线上游两车道（汇入点前 60 m）</w:t>
            </w:r>
          </w:p>
        </w:tc>
        <w:tc>
          <w:tcPr>
            <w:tcW w:w="3120" w:type="dxa"/>
          </w:tcPr>
          <w:p w14:paraId="1BDE804B">
            <w:pPr>
              <w:spacing w:after="0" w:line="240" w:lineRule="auto"/>
              <w:jc w:val="center"/>
            </w:pPr>
            <w:r>
              <w:rPr>
                <w:rFonts w:eastAsia="宋体"/>
                <w:sz w:val="21"/>
              </w:rPr>
              <w:t>主线到达流量</w:t>
            </w:r>
          </w:p>
        </w:tc>
      </w:tr>
      <w:tr w14:paraId="021A4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2D1DFDB">
            <w:pPr>
              <w:spacing w:after="0" w:line="240" w:lineRule="auto"/>
              <w:jc w:val="center"/>
            </w:pPr>
            <w:r>
              <w:rPr>
                <w:rFonts w:eastAsia="宋体"/>
                <w:sz w:val="21"/>
              </w:rPr>
              <w:t>m2_d0 / m2_d1</w:t>
            </w:r>
          </w:p>
        </w:tc>
        <w:tc>
          <w:tcPr>
            <w:tcW w:w="3120" w:type="dxa"/>
          </w:tcPr>
          <w:p w14:paraId="36252889">
            <w:pPr>
              <w:spacing w:after="0" w:line="240" w:lineRule="auto"/>
              <w:jc w:val="center"/>
            </w:pPr>
            <w:r>
              <w:rPr>
                <w:rFonts w:eastAsia="宋体"/>
                <w:sz w:val="21"/>
              </w:rPr>
              <w:t>汇入点下游两股直行车流（后 60 m）</w:t>
            </w:r>
          </w:p>
        </w:tc>
        <w:tc>
          <w:tcPr>
            <w:tcW w:w="3120" w:type="dxa"/>
          </w:tcPr>
          <w:p w14:paraId="433E9645">
            <w:pPr>
              <w:spacing w:after="0" w:line="240" w:lineRule="auto"/>
              <w:jc w:val="center"/>
            </w:pPr>
            <w:r>
              <w:rPr>
                <w:rFonts w:eastAsia="宋体"/>
                <w:sz w:val="21"/>
              </w:rPr>
              <w:t>ALINEA 的下游占用率反馈来源</w:t>
            </w:r>
          </w:p>
        </w:tc>
      </w:tr>
      <w:tr w14:paraId="1FCE4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0F2D7CB">
            <w:pPr>
              <w:spacing w:after="0" w:line="240" w:lineRule="auto"/>
              <w:jc w:val="center"/>
            </w:pPr>
            <w:r>
              <w:rPr>
                <w:rFonts w:eastAsia="宋体"/>
                <w:sz w:val="21"/>
              </w:rPr>
              <w:t>ramp_d</w:t>
            </w:r>
          </w:p>
        </w:tc>
        <w:tc>
          <w:tcPr>
            <w:tcW w:w="3120" w:type="dxa"/>
          </w:tcPr>
          <w:p w14:paraId="73401A5C">
            <w:pPr>
              <w:spacing w:after="0" w:line="240" w:lineRule="auto"/>
              <w:jc w:val="center"/>
            </w:pPr>
            <w:r>
              <w:rPr>
                <w:rFonts w:eastAsia="宋体"/>
                <w:sz w:val="21"/>
              </w:rPr>
              <w:t>匝道停车线附近</w:t>
            </w:r>
          </w:p>
        </w:tc>
        <w:tc>
          <w:tcPr>
            <w:tcW w:w="3120" w:type="dxa"/>
          </w:tcPr>
          <w:p w14:paraId="6F462162">
            <w:pPr>
              <w:spacing w:after="0" w:line="240" w:lineRule="auto"/>
              <w:jc w:val="center"/>
            </w:pPr>
            <w:r>
              <w:rPr>
                <w:rFonts w:eastAsia="宋体"/>
                <w:sz w:val="21"/>
              </w:rPr>
              <w:t>匝道需求与排队释放观测</w:t>
            </w:r>
          </w:p>
        </w:tc>
      </w:tr>
    </w:tbl>
    <w:p w14:paraId="7E48C17C"/>
    <w:p w14:paraId="73057E91">
      <w:pPr>
        <w:pStyle w:val="3"/>
      </w:pPr>
      <w:r>
        <w:t>四、实验过程与结果</w:t>
      </w:r>
    </w:p>
    <w:p w14:paraId="6852C2FC">
      <w:pPr>
        <w:pStyle w:val="4"/>
      </w:pPr>
      <w:r>
        <w:t>4.1 图形界面运行</w:t>
      </w:r>
    </w:p>
    <w:p w14:paraId="23DAC3C3">
      <w:pPr>
        <w:ind w:firstLine="480"/>
      </w:pPr>
      <w:r>
        <w:rPr>
          <w:rFonts w:eastAsia="宋体"/>
          <w:b w:val="0"/>
        </w:rPr>
        <w:t>用 sumo-gui 加载主配置文件并以 --start 参数自动开跑，通过视图设置把相机对准汇入区、车辆按速度着色（蓝快红慢）。运行画面如图1，可以看到主线与匝道的汇入几何以及行驶中的车流；匝道信号灯位于 ramp1末端，基础场景中为常绿（无控制基线）。</w:t>
      </w:r>
    </w:p>
    <w:p w14:paraId="1FBAD5CE">
      <w:pPr>
        <w:jc w:val="center"/>
      </w:pPr>
      <w:r>
        <w:drawing>
          <wp:inline distT="0" distB="0" distL="114300" distR="114300">
            <wp:extent cx="5577840" cy="3481705"/>
            <wp:effectExtent l="0" t="0" r="1016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77840" cy="3482161"/>
                    </a:xfrm>
                    <a:prstGeom prst="rect">
                      <a:avLst/>
                    </a:prstGeom>
                  </pic:spPr>
                </pic:pic>
              </a:graphicData>
            </a:graphic>
          </wp:inline>
        </w:drawing>
      </w:r>
    </w:p>
    <w:p w14:paraId="3FF4697E">
      <w:pPr>
        <w:jc w:val="center"/>
      </w:pPr>
      <w:r>
        <w:rPr>
          <w:rFonts w:eastAsia="宋体"/>
          <w:b/>
          <w:sz w:val="21"/>
        </w:rPr>
        <w:t>图1　SUMO-GUI 运行画面（汇入区放大，车辆按速度着色）</w:t>
      </w:r>
    </w:p>
    <w:p w14:paraId="65012BB2">
      <w:pPr>
        <w:pStyle w:val="4"/>
      </w:pPr>
      <w:r>
        <w:t>4.2 命令行运行与全网统计</w:t>
      </w:r>
    </w:p>
    <w:p w14:paraId="387A2EA0">
      <w:pPr>
        <w:ind w:firstLine="480"/>
      </w:pPr>
      <w:r>
        <w:rPr>
          <w:rFonts w:eastAsia="宋体"/>
          <w:b w:val="0"/>
        </w:rPr>
        <w:t>无界面模式运行同样的配置，2000 s 仿真 0.46 s 跑完（实时倍率约 4367 倍）。末尾统计块如图2：需求中定义的 1001 辆车全部成功插入路网（Waiting: 0），966 辆在仿真结束前完成行程，平均速度 30.67 m/s（约 110 km/h），平均行程时间 80.70 s，平均延误（TimeLoss）仅 4.01 s——说明基线场景整体处于自由流状态，这也与论文 Test A/C 使用无控制基线的设定相符。</w:t>
      </w:r>
    </w:p>
    <w:p w14:paraId="7658BF95">
      <w:pPr>
        <w:jc w:val="center"/>
      </w:pPr>
      <w:r>
        <w:drawing>
          <wp:inline distT="0" distB="0" distL="114300" distR="114300">
            <wp:extent cx="5577840" cy="2525395"/>
            <wp:effectExtent l="0" t="0" r="1016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77840" cy="2525575"/>
                    </a:xfrm>
                    <a:prstGeom prst="rect">
                      <a:avLst/>
                    </a:prstGeom>
                  </pic:spPr>
                </pic:pic>
              </a:graphicData>
            </a:graphic>
          </wp:inline>
        </w:drawing>
      </w:r>
    </w:p>
    <w:p w14:paraId="3C759AC9">
      <w:pPr>
        <w:jc w:val="center"/>
      </w:pPr>
      <w:r>
        <w:rPr>
          <w:rFonts w:eastAsia="宋体"/>
          <w:b/>
          <w:sz w:val="21"/>
        </w:rPr>
        <w:t>图2　命令行运行结束后的全网统计</w:t>
      </w:r>
    </w:p>
    <w:p w14:paraId="245686F3">
      <w:pPr>
        <w:pStyle w:val="4"/>
      </w:pPr>
      <w:r>
        <w:t>4.3 基本交通数据的获取</w:t>
      </w:r>
    </w:p>
    <w:p w14:paraId="7B571A2D">
      <w:pPr>
        <w:ind w:firstLine="480"/>
      </w:pPr>
      <w:r>
        <w:rPr>
          <w:rFonts w:eastAsia="宋体"/>
          <w:b w:val="0"/>
        </w:rPr>
        <w:t>仿真输出四类原生数据文件：检测器数据（每 1 s）、按边聚合数据（每 120 s）、逐车行程 tripinfo 与逐步全网汇总 summary。用 Python 解析后得到图3 与图4：前者是 5 个检测器的流量与平均速度时间序列，可以看到 400–1600 s 高峰期主线流量抬升；后者是全网车辆数与平均速度，需求爬坡与回落的过程清晰可见。行程统计：966 次完成行程，平均行程时间 80.7 s，平均延误 4.0 s，行程时间分布见图5。</w:t>
      </w:r>
    </w:p>
    <w:p w14:paraId="751958C7">
      <w:pPr>
        <w:jc w:val="center"/>
      </w:pPr>
      <w:r>
        <w:drawing>
          <wp:inline distT="0" distB="0" distL="114300" distR="114300">
            <wp:extent cx="5577840" cy="3549015"/>
            <wp:effectExtent l="0" t="0" r="1016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77840" cy="3549535"/>
                    </a:xfrm>
                    <a:prstGeom prst="rect">
                      <a:avLst/>
                    </a:prstGeom>
                  </pic:spPr>
                </pic:pic>
              </a:graphicData>
            </a:graphic>
          </wp:inline>
        </w:drawing>
      </w:r>
    </w:p>
    <w:p w14:paraId="0C91C0F2">
      <w:pPr>
        <w:jc w:val="center"/>
      </w:pPr>
      <w:r>
        <w:rPr>
          <w:rFonts w:eastAsia="宋体"/>
          <w:b/>
          <w:sz w:val="21"/>
        </w:rPr>
        <w:t>图3　五个 E1 检测器的流量与平均速度时间序列</w:t>
      </w:r>
    </w:p>
    <w:p w14:paraId="7D6FB52F">
      <w:pPr>
        <w:jc w:val="center"/>
      </w:pPr>
      <w:r>
        <w:drawing>
          <wp:inline distT="0" distB="0" distL="114300" distR="114300">
            <wp:extent cx="5577840" cy="3295650"/>
            <wp:effectExtent l="0" t="0" r="1016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577840" cy="3295996"/>
                    </a:xfrm>
                    <a:prstGeom prst="rect">
                      <a:avLst/>
                    </a:prstGeom>
                  </pic:spPr>
                </pic:pic>
              </a:graphicData>
            </a:graphic>
          </wp:inline>
        </w:drawing>
      </w:r>
    </w:p>
    <w:p w14:paraId="7A72DF74">
      <w:pPr>
        <w:jc w:val="center"/>
      </w:pPr>
      <w:r>
        <w:rPr>
          <w:rFonts w:eastAsia="宋体"/>
          <w:b/>
          <w:sz w:val="21"/>
        </w:rPr>
        <w:t>图4　全网车辆数、停车数与平均速度时间序列</w:t>
      </w:r>
    </w:p>
    <w:p w14:paraId="2A0E292D">
      <w:pPr>
        <w:jc w:val="center"/>
      </w:pPr>
      <w:r>
        <w:drawing>
          <wp:inline distT="0" distB="0" distL="114300" distR="114300">
            <wp:extent cx="5577840" cy="3137535"/>
            <wp:effectExtent l="0" t="0" r="1016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577840" cy="3137535"/>
                    </a:xfrm>
                    <a:prstGeom prst="rect">
                      <a:avLst/>
                    </a:prstGeom>
                  </pic:spPr>
                </pic:pic>
              </a:graphicData>
            </a:graphic>
          </wp:inline>
        </w:drawing>
      </w:r>
    </w:p>
    <w:p w14:paraId="4EE5BD97">
      <w:pPr>
        <w:jc w:val="center"/>
      </w:pPr>
      <w:r>
        <w:rPr>
          <w:rFonts w:eastAsia="宋体"/>
          <w:b/>
          <w:sz w:val="21"/>
        </w:rPr>
        <w:t>图5　全部完成行程的行程时间分布（tripinfo 解析）</w:t>
      </w:r>
    </w:p>
    <w:p w14:paraId="4EB16016">
      <w:pPr>
        <w:pStyle w:val="4"/>
      </w:pPr>
      <w:r>
        <w:t>4.4 Python 与 SUMO 交互之一：TUD-SUMO 五个基准测试</w:t>
      </w:r>
    </w:p>
    <w:p w14:paraId="6C4E16BD">
      <w:pPr>
        <w:ind w:firstLine="480"/>
      </w:pPr>
      <w:r>
        <w:rPr>
          <w:rFonts w:eastAsia="宋体"/>
          <w:b w:val="0"/>
        </w:rPr>
        <w:t>按论文 §3 逐条复现 Test A–E。五个测试共用同一场景与需求，脚本通过 TUD-SUMO 的 Simulation 类启动仿真、逐步推进并自动收集数据。下面按测试逐项说明。</w:t>
      </w:r>
    </w:p>
    <w:p w14:paraId="0E5351C7">
      <w:pPr>
        <w:pStyle w:val="5"/>
      </w:pPr>
      <w:r>
        <w:t>Test A：裸跑仿真</w:t>
      </w:r>
    </w:p>
    <w:p w14:paraId="5E235059">
      <w:pPr>
        <w:ind w:firstLine="480"/>
      </w:pPr>
      <w:r>
        <w:rPr>
          <w:rFonts w:eastAsia="宋体"/>
          <w:b w:val="0"/>
        </w:rPr>
        <w:t>不带任何交互地跑完全部 4000 步（2000 s），验证场景可正常运行。TUD-SUMO 在每一步自动记录全网车辆数、等待车辆数、行程时间、延误等统计并汇总为单个 JSON 文件（论文 §2.1 所述的标准化数据格式），本次运行共记录完成行程 968 条，全程数据 4000 个时间步完整无缺。</w:t>
      </w:r>
    </w:p>
    <w:p w14:paraId="1FDEB3B5">
      <w:pPr>
        <w:pStyle w:val="5"/>
      </w:pPr>
      <w:r>
        <w:t>Test B：浮动车数据（FCD）</w:t>
      </w:r>
    </w:p>
    <w:p w14:paraId="58D1C701">
      <w:pPr>
        <w:ind w:firstLine="480"/>
      </w:pPr>
      <w:r>
        <w:rPr>
          <w:rFonts w:eastAsia="宋体"/>
          <w:b w:val="0"/>
        </w:rPr>
        <w:t>开启 get_fc_data 选项后，TUD-SUMO 每步记录每辆车的位置、速度、车道等数据，共生成 23 MB 的 FCD 文件（4000 步 × 全部车辆）。用 matplotlib 将主线车辆的轨迹绘制成图6：横轴为沿路位置，纵轴为时间，颜色表示速度。图中每一条斜线就是一辆车的行驶轨迹，主线全程保持高速（蓝色），车辆间速度差异来自随机速度因子。</w:t>
      </w:r>
    </w:p>
    <w:p w14:paraId="14A9077F">
      <w:pPr>
        <w:jc w:val="center"/>
      </w:pPr>
      <w:r>
        <w:drawing>
          <wp:inline distT="0" distB="0" distL="114300" distR="114300">
            <wp:extent cx="5577840" cy="2788920"/>
            <wp:effectExtent l="0" t="0" r="1016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577840" cy="2788920"/>
                    </a:xfrm>
                    <a:prstGeom prst="rect">
                      <a:avLst/>
                    </a:prstGeom>
                  </pic:spPr>
                </pic:pic>
              </a:graphicData>
            </a:graphic>
          </wp:inline>
        </w:drawing>
      </w:r>
    </w:p>
    <w:p w14:paraId="0417A968">
      <w:pPr>
        <w:jc w:val="center"/>
      </w:pPr>
      <w:r>
        <w:rPr>
          <w:rFonts w:eastAsia="宋体"/>
          <w:b/>
          <w:sz w:val="21"/>
        </w:rPr>
        <w:t>图6　Test B：由浮动车数据绘制的主线车辆轨迹图（颜色=速度）</w:t>
      </w:r>
    </w:p>
    <w:p w14:paraId="4A4A8B26">
      <w:pPr>
        <w:pStyle w:val="5"/>
      </w:pPr>
      <w:r>
        <w:t>Test C：时空图</w:t>
      </w:r>
    </w:p>
    <w:p w14:paraId="7007F4EB">
      <w:pPr>
        <w:ind w:firstLine="480"/>
      </w:pPr>
      <w:r>
        <w:rPr>
          <w:rFonts w:eastAsia="宋体"/>
          <w:b w:val="0"/>
        </w:rPr>
        <w:t>论文强调 Test C 只需跟踪四条边的聚合数据（add_tracked_edges）即可绘制时空图，不必存储逐车 FCD。复现结果见图7：主线两段连续边的速度时空图，深蓝为自由流速度。由于基线需求未超过通行能力，图中无明显排队条纹——这与论文对基线场景的用法一致（其拥堵场景由 Test E 的事件注入产生）。</w:t>
      </w:r>
    </w:p>
    <w:p w14:paraId="5A762A3C">
      <w:pPr>
        <w:jc w:val="center"/>
      </w:pPr>
      <w:r>
        <w:drawing>
          <wp:inline distT="0" distB="0" distL="114300" distR="114300">
            <wp:extent cx="5394960" cy="404622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394960" cy="4046220"/>
                    </a:xfrm>
                    <a:prstGeom prst="rect">
                      <a:avLst/>
                    </a:prstGeom>
                  </pic:spPr>
                </pic:pic>
              </a:graphicData>
            </a:graphic>
          </wp:inline>
        </w:drawing>
      </w:r>
    </w:p>
    <w:p w14:paraId="5B8B00FE">
      <w:pPr>
        <w:jc w:val="center"/>
      </w:pPr>
      <w:r>
        <w:rPr>
          <w:rFonts w:eastAsia="宋体"/>
          <w:b/>
          <w:sz w:val="21"/>
        </w:rPr>
        <w:t>图7　Test C：主线时空图（位置×时间，颜色=速度）</w:t>
      </w:r>
    </w:p>
    <w:p w14:paraId="79832C5C">
      <w:pPr>
        <w:pStyle w:val="5"/>
      </w:pPr>
      <w:r>
        <w:t>Test D：ALINEA 匝道控制</w:t>
      </w:r>
    </w:p>
    <w:p w14:paraId="7C3E1173">
      <w:pPr>
        <w:ind w:firstLine="480"/>
      </w:pPr>
      <w:r>
        <w:rPr>
          <w:rFonts w:eastAsia="宋体"/>
          <w:b w:val="0"/>
        </w:rPr>
        <w:t>这是五个测试中交互最复杂的一个。ALINEA 是经典的局部匝道控制算法，其反馈律为 r(n) = clamp(r(n−1) + K·(O_crit − O_meas), r_min, r_max)，其中 O_meas 为汇入点下游检测器实测占有率，O_crit 为临界占有率。本实验参数：控制周期 60 s，O_crit = 3%，K = 25 veh/h per %，放行率范围 [150, 450] veh/h（上限故意低于匝道需求 500 veh/h，使控制效果可见）。每 60 s 由 get_interval_detector_data() 读取下游检测器的平均占有率，按反馈律更新放行率，再由 set_tl_metering_rate() 经 TraCI 写入匝道信号灯——TUD-SUMO 内部按论文 §2.2 所述的一次放一辆策略折算红黄绿时长。</w:t>
      </w:r>
    </w:p>
    <w:p w14:paraId="67EA6591">
      <w:pPr>
        <w:ind w:firstLine="480"/>
      </w:pPr>
      <w:r>
        <w:rPr>
          <w:rFonts w:eastAsia="宋体"/>
          <w:b w:val="0"/>
        </w:rPr>
        <w:t>控制过程日志节选见表5：仿真前段（0–480 s）需求低、下游占有率低于临界值，放行率保持上限 450 veh/h；高峰期（约 540–1680 s）占有率多次超过临界值，放行率被压至 357–433 veh/h；需求回落之后放行率重新回到上限——算法呈现出教科书式的反馈行为。</w:t>
      </w:r>
    </w:p>
    <w:p w14:paraId="3CF74B6A">
      <w:pPr>
        <w:jc w:val="center"/>
      </w:pPr>
      <w:r>
        <w:rPr>
          <w:rFonts w:eastAsia="宋体"/>
          <w:b/>
          <w:sz w:val="21"/>
        </w:rPr>
        <w:t>表5　Test D ALINEA 控制日志节选（完整日志见 outputs/test_d_control_log.csv）</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5BC48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D9E2F3"/>
          </w:tcPr>
          <w:p w14:paraId="135903A9">
            <w:pPr>
              <w:spacing w:after="0" w:line="240" w:lineRule="auto"/>
              <w:jc w:val="center"/>
            </w:pPr>
            <w:r>
              <w:rPr>
                <w:rFonts w:eastAsia="宋体"/>
                <w:b/>
                <w:sz w:val="21"/>
              </w:rPr>
              <w:t>仿真时间 (s)</w:t>
            </w:r>
          </w:p>
        </w:tc>
        <w:tc>
          <w:tcPr>
            <w:tcW w:w="3120" w:type="dxa"/>
            <w:shd w:val="clear" w:color="auto" w:fill="D9E2F3"/>
          </w:tcPr>
          <w:p w14:paraId="02597D8E">
            <w:pPr>
              <w:spacing w:after="0" w:line="240" w:lineRule="auto"/>
              <w:jc w:val="center"/>
            </w:pPr>
            <w:r>
              <w:rPr>
                <w:rFonts w:eastAsia="宋体"/>
                <w:b/>
                <w:sz w:val="21"/>
              </w:rPr>
              <w:t>下游占有率 (%)</w:t>
            </w:r>
          </w:p>
        </w:tc>
        <w:tc>
          <w:tcPr>
            <w:tcW w:w="3120" w:type="dxa"/>
            <w:shd w:val="clear" w:color="auto" w:fill="D9E2F3"/>
          </w:tcPr>
          <w:p w14:paraId="13BDA2BE">
            <w:pPr>
              <w:spacing w:after="0" w:line="240" w:lineRule="auto"/>
              <w:jc w:val="center"/>
            </w:pPr>
            <w:r>
              <w:rPr>
                <w:rFonts w:eastAsia="宋体"/>
                <w:b/>
                <w:sz w:val="21"/>
              </w:rPr>
              <w:t>ALINEA 放行率 (veh/h)</w:t>
            </w:r>
          </w:p>
        </w:tc>
      </w:tr>
      <w:tr w14:paraId="240BC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E1305AB">
            <w:pPr>
              <w:spacing w:after="0" w:line="240" w:lineRule="auto"/>
              <w:jc w:val="center"/>
            </w:pPr>
            <w:r>
              <w:rPr>
                <w:rFonts w:eastAsia="宋体"/>
                <w:sz w:val="21"/>
              </w:rPr>
              <w:t>60</w:t>
            </w:r>
          </w:p>
        </w:tc>
        <w:tc>
          <w:tcPr>
            <w:tcW w:w="3120" w:type="dxa"/>
          </w:tcPr>
          <w:p w14:paraId="59935502">
            <w:pPr>
              <w:spacing w:after="0" w:line="240" w:lineRule="auto"/>
              <w:jc w:val="center"/>
            </w:pPr>
            <w:r>
              <w:rPr>
                <w:rFonts w:eastAsia="宋体"/>
                <w:sz w:val="21"/>
              </w:rPr>
              <w:t>1.15</w:t>
            </w:r>
          </w:p>
        </w:tc>
        <w:tc>
          <w:tcPr>
            <w:tcW w:w="3120" w:type="dxa"/>
          </w:tcPr>
          <w:p w14:paraId="38A8C585">
            <w:pPr>
              <w:spacing w:after="0" w:line="240" w:lineRule="auto"/>
              <w:jc w:val="center"/>
            </w:pPr>
            <w:r>
              <w:rPr>
                <w:rFonts w:eastAsia="宋体"/>
                <w:sz w:val="21"/>
              </w:rPr>
              <w:t>450</w:t>
            </w:r>
          </w:p>
        </w:tc>
      </w:tr>
      <w:tr w14:paraId="787C9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659929F">
            <w:pPr>
              <w:spacing w:after="0" w:line="240" w:lineRule="auto"/>
              <w:jc w:val="center"/>
            </w:pPr>
            <w:r>
              <w:rPr>
                <w:rFonts w:eastAsia="宋体"/>
                <w:sz w:val="21"/>
              </w:rPr>
              <w:t>240</w:t>
            </w:r>
          </w:p>
        </w:tc>
        <w:tc>
          <w:tcPr>
            <w:tcW w:w="3120" w:type="dxa"/>
          </w:tcPr>
          <w:p w14:paraId="7A346FBE">
            <w:pPr>
              <w:spacing w:after="0" w:line="240" w:lineRule="auto"/>
              <w:jc w:val="center"/>
            </w:pPr>
            <w:r>
              <w:rPr>
                <w:rFonts w:eastAsia="宋体"/>
                <w:sz w:val="21"/>
              </w:rPr>
              <w:t>2.51</w:t>
            </w:r>
          </w:p>
        </w:tc>
        <w:tc>
          <w:tcPr>
            <w:tcW w:w="3120" w:type="dxa"/>
          </w:tcPr>
          <w:p w14:paraId="7DDE39B4">
            <w:pPr>
              <w:spacing w:after="0" w:line="240" w:lineRule="auto"/>
              <w:jc w:val="center"/>
            </w:pPr>
            <w:r>
              <w:rPr>
                <w:rFonts w:eastAsia="宋体"/>
                <w:sz w:val="21"/>
              </w:rPr>
              <w:t>450</w:t>
            </w:r>
          </w:p>
        </w:tc>
      </w:tr>
      <w:tr w14:paraId="1C77E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6270BA9B">
            <w:pPr>
              <w:spacing w:after="0" w:line="240" w:lineRule="auto"/>
              <w:jc w:val="center"/>
            </w:pPr>
            <w:r>
              <w:rPr>
                <w:rFonts w:eastAsia="宋体"/>
                <w:sz w:val="21"/>
              </w:rPr>
              <w:t>480</w:t>
            </w:r>
          </w:p>
        </w:tc>
        <w:tc>
          <w:tcPr>
            <w:tcW w:w="3120" w:type="dxa"/>
          </w:tcPr>
          <w:p w14:paraId="09BF55B4">
            <w:pPr>
              <w:spacing w:after="0" w:line="240" w:lineRule="auto"/>
              <w:jc w:val="center"/>
            </w:pPr>
            <w:r>
              <w:rPr>
                <w:rFonts w:eastAsia="宋体"/>
                <w:sz w:val="21"/>
              </w:rPr>
              <w:t>3.02</w:t>
            </w:r>
          </w:p>
        </w:tc>
        <w:tc>
          <w:tcPr>
            <w:tcW w:w="3120" w:type="dxa"/>
          </w:tcPr>
          <w:p w14:paraId="04753643">
            <w:pPr>
              <w:spacing w:after="0" w:line="240" w:lineRule="auto"/>
              <w:jc w:val="center"/>
            </w:pPr>
            <w:r>
              <w:rPr>
                <w:rFonts w:eastAsia="宋体"/>
                <w:sz w:val="21"/>
              </w:rPr>
              <w:t>450</w:t>
            </w:r>
          </w:p>
        </w:tc>
      </w:tr>
      <w:tr w14:paraId="41289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35E3CD76">
            <w:pPr>
              <w:spacing w:after="0" w:line="240" w:lineRule="auto"/>
              <w:jc w:val="center"/>
            </w:pPr>
            <w:r>
              <w:rPr>
                <w:rFonts w:eastAsia="宋体"/>
                <w:sz w:val="21"/>
              </w:rPr>
              <w:t>540</w:t>
            </w:r>
          </w:p>
        </w:tc>
        <w:tc>
          <w:tcPr>
            <w:tcW w:w="3120" w:type="dxa"/>
          </w:tcPr>
          <w:p w14:paraId="2E0D853F">
            <w:pPr>
              <w:spacing w:after="0" w:line="240" w:lineRule="auto"/>
              <w:jc w:val="center"/>
            </w:pPr>
            <w:r>
              <w:rPr>
                <w:rFonts w:eastAsia="宋体"/>
                <w:sz w:val="21"/>
              </w:rPr>
              <w:t>3.67</w:t>
            </w:r>
          </w:p>
        </w:tc>
        <w:tc>
          <w:tcPr>
            <w:tcW w:w="3120" w:type="dxa"/>
          </w:tcPr>
          <w:p w14:paraId="56BE341B">
            <w:pPr>
              <w:spacing w:after="0" w:line="240" w:lineRule="auto"/>
              <w:jc w:val="center"/>
            </w:pPr>
            <w:r>
              <w:rPr>
                <w:rFonts w:eastAsia="宋体"/>
                <w:sz w:val="21"/>
              </w:rPr>
              <w:t>433</w:t>
            </w:r>
          </w:p>
        </w:tc>
      </w:tr>
      <w:tr w14:paraId="074D5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5A3C5509">
            <w:pPr>
              <w:spacing w:after="0" w:line="240" w:lineRule="auto"/>
              <w:jc w:val="center"/>
            </w:pPr>
            <w:r>
              <w:rPr>
                <w:rFonts w:eastAsia="宋体"/>
                <w:sz w:val="21"/>
              </w:rPr>
              <w:t>660</w:t>
            </w:r>
          </w:p>
        </w:tc>
        <w:tc>
          <w:tcPr>
            <w:tcW w:w="3120" w:type="dxa"/>
          </w:tcPr>
          <w:p w14:paraId="44D46E3A">
            <w:pPr>
              <w:spacing w:after="0" w:line="240" w:lineRule="auto"/>
              <w:jc w:val="center"/>
            </w:pPr>
            <w:r>
              <w:rPr>
                <w:rFonts w:eastAsia="宋体"/>
                <w:sz w:val="21"/>
              </w:rPr>
              <w:t>3.53</w:t>
            </w:r>
          </w:p>
        </w:tc>
        <w:tc>
          <w:tcPr>
            <w:tcW w:w="3120" w:type="dxa"/>
          </w:tcPr>
          <w:p w14:paraId="669596E1">
            <w:pPr>
              <w:spacing w:after="0" w:line="240" w:lineRule="auto"/>
              <w:jc w:val="center"/>
            </w:pPr>
            <w:r>
              <w:rPr>
                <w:rFonts w:eastAsia="宋体"/>
                <w:sz w:val="21"/>
              </w:rPr>
              <w:t>422</w:t>
            </w:r>
          </w:p>
        </w:tc>
      </w:tr>
      <w:tr w14:paraId="2BE2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CA6E5C9">
            <w:pPr>
              <w:spacing w:after="0" w:line="240" w:lineRule="auto"/>
              <w:jc w:val="center"/>
            </w:pPr>
            <w:r>
              <w:rPr>
                <w:rFonts w:eastAsia="宋体"/>
                <w:sz w:val="21"/>
              </w:rPr>
              <w:t>900</w:t>
            </w:r>
          </w:p>
        </w:tc>
        <w:tc>
          <w:tcPr>
            <w:tcW w:w="3120" w:type="dxa"/>
          </w:tcPr>
          <w:p w14:paraId="1B1C61DB">
            <w:pPr>
              <w:spacing w:after="0" w:line="240" w:lineRule="auto"/>
              <w:jc w:val="center"/>
            </w:pPr>
            <w:r>
              <w:rPr>
                <w:rFonts w:eastAsia="宋体"/>
                <w:sz w:val="21"/>
              </w:rPr>
              <w:t>2.95</w:t>
            </w:r>
          </w:p>
        </w:tc>
        <w:tc>
          <w:tcPr>
            <w:tcW w:w="3120" w:type="dxa"/>
          </w:tcPr>
          <w:p w14:paraId="5D5F11DE">
            <w:pPr>
              <w:spacing w:after="0" w:line="240" w:lineRule="auto"/>
              <w:jc w:val="center"/>
            </w:pPr>
            <w:r>
              <w:rPr>
                <w:rFonts w:eastAsia="宋体"/>
                <w:sz w:val="21"/>
              </w:rPr>
              <w:t>395</w:t>
            </w:r>
          </w:p>
        </w:tc>
      </w:tr>
      <w:tr w14:paraId="0183C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2335BEA1">
            <w:pPr>
              <w:spacing w:after="0" w:line="240" w:lineRule="auto"/>
              <w:jc w:val="center"/>
            </w:pPr>
            <w:r>
              <w:rPr>
                <w:rFonts w:eastAsia="宋体"/>
                <w:sz w:val="21"/>
              </w:rPr>
              <w:t>1200</w:t>
            </w:r>
          </w:p>
        </w:tc>
        <w:tc>
          <w:tcPr>
            <w:tcW w:w="3120" w:type="dxa"/>
          </w:tcPr>
          <w:p w14:paraId="56D110B4">
            <w:pPr>
              <w:spacing w:after="0" w:line="240" w:lineRule="auto"/>
              <w:jc w:val="center"/>
            </w:pPr>
            <w:r>
              <w:rPr>
                <w:rFonts w:eastAsia="宋体"/>
                <w:sz w:val="21"/>
              </w:rPr>
              <w:t>3.03</w:t>
            </w:r>
          </w:p>
        </w:tc>
        <w:tc>
          <w:tcPr>
            <w:tcW w:w="3120" w:type="dxa"/>
          </w:tcPr>
          <w:p w14:paraId="4DD4B8EA">
            <w:pPr>
              <w:spacing w:after="0" w:line="240" w:lineRule="auto"/>
              <w:jc w:val="center"/>
            </w:pPr>
            <w:r>
              <w:rPr>
                <w:rFonts w:eastAsia="宋体"/>
                <w:sz w:val="21"/>
              </w:rPr>
              <w:t>384</w:t>
            </w:r>
          </w:p>
        </w:tc>
      </w:tr>
      <w:tr w14:paraId="71673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1C60CEF">
            <w:pPr>
              <w:spacing w:after="0" w:line="240" w:lineRule="auto"/>
              <w:jc w:val="center"/>
            </w:pPr>
            <w:r>
              <w:rPr>
                <w:rFonts w:eastAsia="宋体"/>
                <w:sz w:val="21"/>
              </w:rPr>
              <w:t>1380</w:t>
            </w:r>
          </w:p>
        </w:tc>
        <w:tc>
          <w:tcPr>
            <w:tcW w:w="3120" w:type="dxa"/>
          </w:tcPr>
          <w:p w14:paraId="7584D683">
            <w:pPr>
              <w:spacing w:after="0" w:line="240" w:lineRule="auto"/>
              <w:jc w:val="center"/>
            </w:pPr>
            <w:r>
              <w:rPr>
                <w:rFonts w:eastAsia="宋体"/>
                <w:sz w:val="21"/>
              </w:rPr>
              <w:t>3.76</w:t>
            </w:r>
          </w:p>
        </w:tc>
        <w:tc>
          <w:tcPr>
            <w:tcW w:w="3120" w:type="dxa"/>
          </w:tcPr>
          <w:p w14:paraId="07FE5F05">
            <w:pPr>
              <w:spacing w:after="0" w:line="240" w:lineRule="auto"/>
              <w:jc w:val="center"/>
            </w:pPr>
            <w:r>
              <w:rPr>
                <w:rFonts w:eastAsia="宋体"/>
                <w:sz w:val="21"/>
              </w:rPr>
              <w:t>357</w:t>
            </w:r>
          </w:p>
        </w:tc>
      </w:tr>
      <w:tr w14:paraId="5B04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9B16D9A">
            <w:pPr>
              <w:spacing w:after="0" w:line="240" w:lineRule="auto"/>
              <w:jc w:val="center"/>
            </w:pPr>
            <w:r>
              <w:rPr>
                <w:rFonts w:eastAsia="宋体"/>
                <w:sz w:val="21"/>
              </w:rPr>
              <w:t>1680</w:t>
            </w:r>
          </w:p>
        </w:tc>
        <w:tc>
          <w:tcPr>
            <w:tcW w:w="3120" w:type="dxa"/>
          </w:tcPr>
          <w:p w14:paraId="078AB214">
            <w:pPr>
              <w:spacing w:after="0" w:line="240" w:lineRule="auto"/>
              <w:jc w:val="center"/>
            </w:pPr>
            <w:r>
              <w:rPr>
                <w:rFonts w:eastAsia="宋体"/>
                <w:sz w:val="21"/>
              </w:rPr>
              <w:t>2.40</w:t>
            </w:r>
          </w:p>
        </w:tc>
        <w:tc>
          <w:tcPr>
            <w:tcW w:w="3120" w:type="dxa"/>
          </w:tcPr>
          <w:p w14:paraId="030D2778">
            <w:pPr>
              <w:spacing w:after="0" w:line="240" w:lineRule="auto"/>
              <w:jc w:val="center"/>
            </w:pPr>
            <w:r>
              <w:rPr>
                <w:rFonts w:eastAsia="宋体"/>
                <w:sz w:val="21"/>
              </w:rPr>
              <w:t>378</w:t>
            </w:r>
          </w:p>
        </w:tc>
      </w:tr>
      <w:tr w14:paraId="75D41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78DF4B01">
            <w:pPr>
              <w:spacing w:after="0" w:line="240" w:lineRule="auto"/>
              <w:jc w:val="center"/>
            </w:pPr>
            <w:r>
              <w:rPr>
                <w:rFonts w:eastAsia="宋体"/>
                <w:sz w:val="21"/>
              </w:rPr>
              <w:t>1980</w:t>
            </w:r>
          </w:p>
        </w:tc>
        <w:tc>
          <w:tcPr>
            <w:tcW w:w="3120" w:type="dxa"/>
          </w:tcPr>
          <w:p w14:paraId="472E0191">
            <w:pPr>
              <w:spacing w:after="0" w:line="240" w:lineRule="auto"/>
              <w:jc w:val="center"/>
            </w:pPr>
            <w:r>
              <w:rPr>
                <w:rFonts w:eastAsia="宋体"/>
                <w:sz w:val="21"/>
              </w:rPr>
              <w:t>2.02</w:t>
            </w:r>
          </w:p>
        </w:tc>
        <w:tc>
          <w:tcPr>
            <w:tcW w:w="3120" w:type="dxa"/>
          </w:tcPr>
          <w:p w14:paraId="742A6587">
            <w:pPr>
              <w:spacing w:after="0" w:line="240" w:lineRule="auto"/>
              <w:jc w:val="center"/>
            </w:pPr>
            <w:r>
              <w:rPr>
                <w:rFonts w:eastAsia="宋体"/>
                <w:sz w:val="21"/>
              </w:rPr>
              <w:t>450</w:t>
            </w:r>
          </w:p>
        </w:tc>
      </w:tr>
    </w:tbl>
    <w:p w14:paraId="47FD6928"/>
    <w:p w14:paraId="5121B6A0">
      <w:pPr>
        <w:jc w:val="center"/>
      </w:pPr>
      <w:r>
        <w:drawing>
          <wp:inline distT="0" distB="0" distL="114300" distR="114300">
            <wp:extent cx="5120640" cy="3840480"/>
            <wp:effectExtent l="0" t="0" r="1016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120640" cy="3840480"/>
                    </a:xfrm>
                    <a:prstGeom prst="rect">
                      <a:avLst/>
                    </a:prstGeom>
                  </pic:spPr>
                </pic:pic>
              </a:graphicData>
            </a:graphic>
          </wp:inline>
        </w:drawing>
      </w:r>
    </w:p>
    <w:p w14:paraId="416D91F0">
      <w:pPr>
        <w:jc w:val="center"/>
      </w:pPr>
      <w:r>
        <w:rPr>
          <w:rFonts w:eastAsia="宋体"/>
          <w:b/>
          <w:sz w:val="21"/>
        </w:rPr>
        <w:t>图8　Test D：ALINEA 放行率随时间的变化</w:t>
      </w:r>
    </w:p>
    <w:p w14:paraId="2E8E7AF8">
      <w:pPr>
        <w:ind w:firstLine="480"/>
      </w:pPr>
      <w:r>
        <w:rPr>
          <w:rFonts w:eastAsia="宋体"/>
          <w:b w:val="0"/>
        </w:rPr>
        <w:t>利用 TUD-SUMO 跟踪信号灯路口得到的两张工程图见图9 与图10：前者是匝道信号的红黄绿相位时序，可以清楚看到一次放一辆策略下绿—黄—红的循环；后者是匝道排队长度，由于放行率上限低于需求，排队随时间缓慢累积，与 2.3 节的机制分析一致。</w:t>
      </w:r>
    </w:p>
    <w:p w14:paraId="7716D327">
      <w:pPr>
        <w:jc w:val="center"/>
      </w:pPr>
      <w:r>
        <w:drawing>
          <wp:inline distT="0" distB="0" distL="114300" distR="114300">
            <wp:extent cx="5120640" cy="3840480"/>
            <wp:effectExtent l="0" t="0" r="1016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120640" cy="3840480"/>
                    </a:xfrm>
                    <a:prstGeom prst="rect">
                      <a:avLst/>
                    </a:prstGeom>
                  </pic:spPr>
                </pic:pic>
              </a:graphicData>
            </a:graphic>
          </wp:inline>
        </w:drawing>
      </w:r>
    </w:p>
    <w:p w14:paraId="08880376">
      <w:pPr>
        <w:jc w:val="center"/>
      </w:pPr>
      <w:r>
        <w:rPr>
          <w:rFonts w:eastAsia="宋体"/>
          <w:b/>
          <w:sz w:val="21"/>
        </w:rPr>
        <w:t>图9　Test D：匝道信号相位时序图</w:t>
      </w:r>
    </w:p>
    <w:p w14:paraId="59112522">
      <w:pPr>
        <w:jc w:val="center"/>
      </w:pPr>
      <w:r>
        <w:drawing>
          <wp:inline distT="0" distB="0" distL="114300" distR="114300">
            <wp:extent cx="5120640" cy="3840480"/>
            <wp:effectExtent l="0" t="0" r="1016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120640" cy="3840480"/>
                    </a:xfrm>
                    <a:prstGeom prst="rect">
                      <a:avLst/>
                    </a:prstGeom>
                  </pic:spPr>
                </pic:pic>
              </a:graphicData>
            </a:graphic>
          </wp:inline>
        </w:drawing>
      </w:r>
    </w:p>
    <w:p w14:paraId="48B87CEB">
      <w:pPr>
        <w:jc w:val="center"/>
      </w:pPr>
      <w:r>
        <w:rPr>
          <w:rFonts w:eastAsia="宋体"/>
          <w:b/>
          <w:sz w:val="21"/>
        </w:rPr>
        <w:t>图10　Test D：匝道排队长度变化</w:t>
      </w:r>
    </w:p>
    <w:p w14:paraId="63690E54">
      <w:pPr>
        <w:pStyle w:val="5"/>
      </w:pPr>
      <w:r>
        <w:t>Test E：动态事件（事故）</w:t>
      </w:r>
    </w:p>
    <w:p w14:paraId="1F19ADC4">
      <w:pPr>
        <w:ind w:firstLine="480"/>
      </w:pPr>
      <w:r>
        <w:rPr>
          <w:rFonts w:eastAsia="宋体"/>
          <w:b w:val="0"/>
        </w:rPr>
        <w:t>先让仿真自由运行 600 s，然后调用 cause_incident() 选取一辆正在主线上游行驶的车辆，在其下一路段（即汇入点下游的 main2，与论文 Test E 的事故位置一致）制造持续 300 s 的事故，事故路段限速降至 15 km/h。图11 为 main2 全边平均速度时间序列，600–900 s 之间出现明显的速度骤降与恢复过程，事件起止在图中自动标注。这一测试展示了 TUD-SUMO 事件系统的动态性与可复现性（事件参数可保存为文件）。</w:t>
      </w:r>
    </w:p>
    <w:p w14:paraId="52BBF7B5">
      <w:pPr>
        <w:jc w:val="center"/>
      </w:pPr>
      <w:r>
        <w:drawing>
          <wp:inline distT="0" distB="0" distL="114300" distR="114300">
            <wp:extent cx="5303520" cy="3977640"/>
            <wp:effectExtent l="0" t="0" r="508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303520" cy="3977640"/>
                    </a:xfrm>
                    <a:prstGeom prst="rect">
                      <a:avLst/>
                    </a:prstGeom>
                  </pic:spPr>
                </pic:pic>
              </a:graphicData>
            </a:graphic>
          </wp:inline>
        </w:drawing>
      </w:r>
    </w:p>
    <w:p w14:paraId="1B7AB36D">
      <w:pPr>
        <w:jc w:val="center"/>
      </w:pPr>
      <w:r>
        <w:rPr>
          <w:rFonts w:eastAsia="宋体"/>
          <w:b/>
          <w:sz w:val="21"/>
        </w:rPr>
        <w:t>图11　Test E：事故期间主线平均速度的骤降与恢复</w:t>
      </w:r>
    </w:p>
    <w:p w14:paraId="6B355CEF">
      <w:pPr>
        <w:pStyle w:val="4"/>
      </w:pPr>
      <w:r>
        <w:t>4.5 Python 与 SUMO 交互之二：原生 TraCI 对照实现</w:t>
      </w:r>
    </w:p>
    <w:p w14:paraId="55ECF2A7">
      <w:pPr>
        <w:ind w:firstLine="480"/>
      </w:pPr>
      <w:r>
        <w:rPr>
          <w:rFonts w:eastAsia="宋体"/>
          <w:b w:val="0"/>
        </w:rPr>
        <w:t>为了体现 TUD-SUMO 封装与底层接口的差异（论文 §4 正是拿原生 TraCI 作对比基线），我们用 traci 包从零重写了 Test D 的 ALINEA 控制仿真：traci.simulationStep() 逐步推进仿真，inductionloop.getLastStepOccupancy() 逐步读取线圈占用率并在控制周期内取平均，trafficlight.setRedYellowGreenState() 按一次放一辆策略直接命令信号灯状态。运行时的控制台输出如图12（截图），完整 2000 s 仿真的占用率与放行率曲线见图13。对比两条实现路线可以直观体会到：原生 TraCI 需要自己处理订阅、聚合、相位状态机等全部细节，而 TUD-SUMO 把这些封装成了单个函数调用。</w:t>
      </w:r>
    </w:p>
    <w:p w14:paraId="54D85401">
      <w:pPr>
        <w:jc w:val="center"/>
      </w:pPr>
      <w:r>
        <w:drawing>
          <wp:inline distT="0" distB="0" distL="114300" distR="114300">
            <wp:extent cx="5577840" cy="3885565"/>
            <wp:effectExtent l="0" t="0" r="1016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577840" cy="3885895"/>
                    </a:xfrm>
                    <a:prstGeom prst="rect">
                      <a:avLst/>
                    </a:prstGeom>
                  </pic:spPr>
                </pic:pic>
              </a:graphicData>
            </a:graphic>
          </wp:inline>
        </w:drawing>
      </w:r>
    </w:p>
    <w:p w14:paraId="32CAF22B">
      <w:pPr>
        <w:jc w:val="center"/>
      </w:pPr>
      <w:r>
        <w:rPr>
          <w:rFonts w:eastAsia="宋体"/>
          <w:b/>
          <w:sz w:val="21"/>
        </w:rPr>
        <w:t>图12　纯 TraCI 交互演示的运行画面（Python 实时读取数据并控制信号灯）</w:t>
      </w:r>
    </w:p>
    <w:p w14:paraId="64B55736">
      <w:pPr>
        <w:jc w:val="center"/>
      </w:pPr>
      <w:r>
        <w:drawing>
          <wp:inline distT="0" distB="0" distL="114300" distR="114300">
            <wp:extent cx="5394960" cy="2451735"/>
            <wp:effectExtent l="0" t="0" r="254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394960" cy="2452255"/>
                    </a:xfrm>
                    <a:prstGeom prst="rect">
                      <a:avLst/>
                    </a:prstGeom>
                  </pic:spPr>
                </pic:pic>
              </a:graphicData>
            </a:graphic>
          </wp:inline>
        </w:drawing>
      </w:r>
    </w:p>
    <w:p w14:paraId="1D168100">
      <w:pPr>
        <w:jc w:val="center"/>
      </w:pPr>
      <w:r>
        <w:rPr>
          <w:rFonts w:eastAsia="宋体"/>
          <w:b/>
          <w:sz w:val="21"/>
        </w:rPr>
        <w:t>图13　纯 TraCI 版 ALINEA：占用率、放行率与主线速度</w:t>
      </w:r>
    </w:p>
    <w:p w14:paraId="304F53CB">
      <w:pPr>
        <w:pStyle w:val="3"/>
      </w:pPr>
      <w:r>
        <w:t>五、实验中遇到的问题与解决过程</w:t>
      </w:r>
    </w:p>
    <w:p w14:paraId="3AB1FE56">
      <w:pPr>
        <w:ind w:firstLine="480"/>
      </w:pPr>
      <w:r>
        <w:rPr>
          <w:rFonts w:eastAsia="宋体"/>
          <w:b w:val="0"/>
        </w:rPr>
        <w:t>问题一：SUMO 程序报 Quitting (on unknown error) 且没有任何 Error 行。定位过程发现，netconvert、sumo 读取工作区内的场景文件都正常，唯独设置了 SUMO_HOME 环境变量后必现；而 SUMO_HOME 指向英文路径的目录联接（mklink /J）时一切正常。原因是 SUMO 的 C++ 程序要用 SUMO_HOME 加载 XSD 校验文件，而本机 SUMO 安装在含中文的路径下，校验文件加载失败。解决办法是建立英文路径的目录联接并让 SUMO_HOME 指向它，输入文件本身放在中文路径不受影响。</w:t>
      </w:r>
    </w:p>
    <w:p w14:paraId="3DB23DF6">
      <w:pPr>
        <w:ind w:firstLine="480"/>
      </w:pPr>
      <w:r>
        <w:rPr>
          <w:rFonts w:eastAsia="宋体"/>
          <w:b w:val="0"/>
        </w:rPr>
        <w:t>问题二：匝道流量凭空消失。第一次运行时匝道一辆车都没有，回查日志发现只有一行 Warning：Route file should be sorted by departure time, ignoring 'ramp_a'。SUMO 要求 rou.xml 中的 flow 按 begin 时间排序，排在后面的 flow 会被直接忽略。调整定义顺序后匝道车辆正常加载。这个 Warning 不显眼但影响致命，是排查流量类问题首先要检查的地方。</w:t>
      </w:r>
    </w:p>
    <w:p w14:paraId="02BB2F14">
      <w:pPr>
        <w:ind w:firstLine="480"/>
      </w:pPr>
      <w:r>
        <w:rPr>
          <w:rFonts w:eastAsia="宋体"/>
          <w:b w:val="0"/>
        </w:rPr>
        <w:t>问题三：匝道排死队而主线畅通。最初的设计把匝道直接汇入 2 车道主线的外侧车道，结果匝道密度高达 129 veh/km（完全堵死）而主线保持 30 m/s。通过 edgedata 输出逐边排查确认拥堵位置后，分析 junction 路权矩阵发现：匝道车流在停车线处需要横穿主线 0→1 车道的变道流，对 33 m/s 的主车流几乎找不到可穿越空隙。修改为论文 Fig.3 式的专用道设计（主线拓宽为 3 车道、车道整体内移、匝道接最外侧）后，平均延误从 60 s 降到 4 s。这个问题让我们体会到路网连接定义对微观仿真结果的决定性影响。</w:t>
      </w:r>
    </w:p>
    <w:p w14:paraId="70C0C2DA">
      <w:pPr>
        <w:ind w:firstLine="480"/>
      </w:pPr>
      <w:r>
        <w:rPr>
          <w:rFonts w:eastAsia="宋体"/>
          <w:b w:val="0"/>
        </w:rPr>
        <w:t>问题四：TUD-SUMO 的两个接口细节。其一，add_tracked_junctions 传信号灯 ID 字符串只做普通跟踪，要记录放行率与排队必须传 meter_params 字典，否则后续调用 set_tl_metering_rate 会报属性缺失；其二，TUD-SUMO 存储的占有率是 0–1 的分数（源码中 occupancy/100），而原生 TraCI 读数是百分数，两者混用会让 ALINEA 的反馈量相差 100 倍。这些细节论文并未写明，是阅读安装包源码并对照运行结果逐一确认的。</w:t>
      </w:r>
    </w:p>
    <w:p w14:paraId="71F0582C">
      <w:pPr>
        <w:pStyle w:val="3"/>
      </w:pPr>
      <w:r>
        <w:t>六、复现程度对照与结论</w:t>
      </w:r>
    </w:p>
    <w:p w14:paraId="29923DB0">
      <w:pPr>
        <w:pStyle w:val="4"/>
      </w:pPr>
      <w:r>
        <w:t>6.1 复现程度对照</w:t>
      </w:r>
    </w:p>
    <w:p w14:paraId="7935D181">
      <w:pPr>
        <w:jc w:val="center"/>
      </w:pPr>
      <w:r>
        <w:rPr>
          <w:rFonts w:eastAsia="宋体"/>
          <w:b/>
          <w:sz w:val="21"/>
        </w:rPr>
        <w:t>表6　复现程度对照表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6348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D9E2F3"/>
          </w:tcPr>
          <w:p w14:paraId="63F4F1BB">
            <w:pPr>
              <w:spacing w:after="0" w:line="240" w:lineRule="auto"/>
              <w:jc w:val="center"/>
            </w:pPr>
            <w:r>
              <w:rPr>
                <w:rFonts w:eastAsia="宋体"/>
                <w:b/>
                <w:sz w:val="21"/>
              </w:rPr>
              <w:t>论文内容</w:t>
            </w:r>
          </w:p>
        </w:tc>
        <w:tc>
          <w:tcPr>
            <w:tcW w:w="2340" w:type="dxa"/>
            <w:shd w:val="clear" w:color="auto" w:fill="D9E2F3"/>
          </w:tcPr>
          <w:p w14:paraId="6E6A1D03">
            <w:pPr>
              <w:spacing w:after="0" w:line="240" w:lineRule="auto"/>
              <w:jc w:val="center"/>
            </w:pPr>
            <w:r>
              <w:rPr>
                <w:rFonts w:eastAsia="宋体"/>
                <w:b/>
                <w:sz w:val="21"/>
              </w:rPr>
              <w:t>论文位置</w:t>
            </w:r>
          </w:p>
        </w:tc>
        <w:tc>
          <w:tcPr>
            <w:tcW w:w="2340" w:type="dxa"/>
            <w:shd w:val="clear" w:color="auto" w:fill="D9E2F3"/>
          </w:tcPr>
          <w:p w14:paraId="16631453">
            <w:pPr>
              <w:spacing w:after="0" w:line="240" w:lineRule="auto"/>
              <w:jc w:val="center"/>
            </w:pPr>
            <w:r>
              <w:rPr>
                <w:rFonts w:eastAsia="宋体"/>
                <w:b/>
                <w:sz w:val="21"/>
              </w:rPr>
              <w:t>本实验实现</w:t>
            </w:r>
          </w:p>
        </w:tc>
        <w:tc>
          <w:tcPr>
            <w:tcW w:w="2340" w:type="dxa"/>
            <w:shd w:val="clear" w:color="auto" w:fill="D9E2F3"/>
          </w:tcPr>
          <w:p w14:paraId="42985FFB">
            <w:pPr>
              <w:spacing w:after="0" w:line="240" w:lineRule="auto"/>
              <w:jc w:val="center"/>
            </w:pPr>
            <w:r>
              <w:rPr>
                <w:rFonts w:eastAsia="宋体"/>
                <w:b/>
                <w:sz w:val="21"/>
              </w:rPr>
              <w:t>结果文件</w:t>
            </w:r>
          </w:p>
        </w:tc>
      </w:tr>
      <w:tr w14:paraId="016E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38AA6E46">
            <w:pPr>
              <w:spacing w:after="0" w:line="240" w:lineRule="auto"/>
              <w:jc w:val="center"/>
            </w:pPr>
            <w:r>
              <w:rPr>
                <w:rFonts w:eastAsia="宋体"/>
                <w:sz w:val="21"/>
              </w:rPr>
              <w:t>研究加速工具定位：简化接口+自动数据收集</w:t>
            </w:r>
          </w:p>
        </w:tc>
        <w:tc>
          <w:tcPr>
            <w:tcW w:w="2340" w:type="dxa"/>
          </w:tcPr>
          <w:p w14:paraId="740B43D3">
            <w:pPr>
              <w:spacing w:after="0" w:line="240" w:lineRule="auto"/>
              <w:jc w:val="center"/>
            </w:pPr>
            <w:r>
              <w:rPr>
                <w:rFonts w:eastAsia="宋体"/>
                <w:sz w:val="21"/>
              </w:rPr>
              <w:t>§1/§2.2</w:t>
            </w:r>
          </w:p>
        </w:tc>
        <w:tc>
          <w:tcPr>
            <w:tcW w:w="2340" w:type="dxa"/>
          </w:tcPr>
          <w:p w14:paraId="24C8E134">
            <w:pPr>
              <w:spacing w:after="0" w:line="240" w:lineRule="auto"/>
              <w:jc w:val="center"/>
            </w:pPr>
            <w:r>
              <w:rPr>
                <w:rFonts w:eastAsia="宋体"/>
                <w:sz w:val="21"/>
              </w:rPr>
              <w:t>Test A 全流程使用，无需手写数据管理代码</w:t>
            </w:r>
          </w:p>
        </w:tc>
        <w:tc>
          <w:tcPr>
            <w:tcW w:w="2340" w:type="dxa"/>
          </w:tcPr>
          <w:p w14:paraId="27FCD208">
            <w:pPr>
              <w:spacing w:after="0" w:line="240" w:lineRule="auto"/>
              <w:jc w:val="center"/>
            </w:pPr>
            <w:r>
              <w:rPr>
                <w:rFonts w:eastAsia="宋体"/>
                <w:sz w:val="21"/>
              </w:rPr>
              <w:t>test_a_sim_data.json</w:t>
            </w:r>
          </w:p>
        </w:tc>
      </w:tr>
      <w:tr w14:paraId="541DF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434B4B8E">
            <w:pPr>
              <w:spacing w:after="0" w:line="240" w:lineRule="auto"/>
              <w:jc w:val="center"/>
            </w:pPr>
            <w:r>
              <w:rPr>
                <w:rFonts w:eastAsia="宋体"/>
                <w:sz w:val="21"/>
              </w:rPr>
              <w:t>匝道场景与需求设定</w:t>
            </w:r>
          </w:p>
        </w:tc>
        <w:tc>
          <w:tcPr>
            <w:tcW w:w="2340" w:type="dxa"/>
          </w:tcPr>
          <w:p w14:paraId="1F5BB68D">
            <w:pPr>
              <w:spacing w:after="0" w:line="240" w:lineRule="auto"/>
              <w:jc w:val="center"/>
            </w:pPr>
            <w:r>
              <w:rPr>
                <w:rFonts w:eastAsia="宋体"/>
                <w:sz w:val="21"/>
              </w:rPr>
              <w:t>§3 / Fig.3</w:t>
            </w:r>
          </w:p>
        </w:tc>
        <w:tc>
          <w:tcPr>
            <w:tcW w:w="2340" w:type="dxa"/>
          </w:tcPr>
          <w:p w14:paraId="46C48E4E">
            <w:pPr>
              <w:spacing w:after="0" w:line="240" w:lineRule="auto"/>
              <w:jc w:val="center"/>
            </w:pPr>
            <w:r>
              <w:rPr>
                <w:rFonts w:eastAsia="宋体"/>
                <w:sz w:val="21"/>
              </w:rPr>
              <w:t>按同参数重建（500 / 1000→1500 / 2000 s）</w:t>
            </w:r>
          </w:p>
        </w:tc>
        <w:tc>
          <w:tcPr>
            <w:tcW w:w="2340" w:type="dxa"/>
          </w:tcPr>
          <w:p w14:paraId="553890FD">
            <w:pPr>
              <w:spacing w:after="0" w:line="240" w:lineRule="auto"/>
              <w:jc w:val="center"/>
            </w:pPr>
            <w:r>
              <w:rPr>
                <w:rFonts w:eastAsia="宋体"/>
                <w:sz w:val="21"/>
              </w:rPr>
              <w:t>scenario/ 全套文件</w:t>
            </w:r>
          </w:p>
        </w:tc>
      </w:tr>
      <w:tr w14:paraId="6290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42C2FF63">
            <w:pPr>
              <w:spacing w:after="0" w:line="240" w:lineRule="auto"/>
              <w:jc w:val="center"/>
            </w:pPr>
            <w:r>
              <w:rPr>
                <w:rFonts w:eastAsia="宋体"/>
                <w:sz w:val="21"/>
              </w:rPr>
              <w:t>Test A 简单运行</w:t>
            </w:r>
          </w:p>
        </w:tc>
        <w:tc>
          <w:tcPr>
            <w:tcW w:w="2340" w:type="dxa"/>
          </w:tcPr>
          <w:p w14:paraId="50DB644D">
            <w:pPr>
              <w:spacing w:after="0" w:line="240" w:lineRule="auto"/>
              <w:jc w:val="center"/>
            </w:pPr>
            <w:r>
              <w:rPr>
                <w:rFonts w:eastAsia="宋体"/>
                <w:sz w:val="21"/>
              </w:rPr>
              <w:t>§3</w:t>
            </w:r>
          </w:p>
        </w:tc>
        <w:tc>
          <w:tcPr>
            <w:tcW w:w="2340" w:type="dxa"/>
          </w:tcPr>
          <w:p w14:paraId="0883FD83">
            <w:pPr>
              <w:spacing w:after="0" w:line="240" w:lineRule="auto"/>
              <w:jc w:val="center"/>
            </w:pPr>
            <w:r>
              <w:rPr>
                <w:rFonts w:eastAsia="宋体"/>
                <w:sz w:val="21"/>
              </w:rPr>
              <w:t>复现，4000 步完整运行</w:t>
            </w:r>
          </w:p>
        </w:tc>
        <w:tc>
          <w:tcPr>
            <w:tcW w:w="2340" w:type="dxa"/>
          </w:tcPr>
          <w:p w14:paraId="255FB9B0">
            <w:pPr>
              <w:spacing w:after="0" w:line="240" w:lineRule="auto"/>
              <w:jc w:val="center"/>
            </w:pPr>
            <w:r>
              <w:rPr>
                <w:rFonts w:eastAsia="宋体"/>
                <w:sz w:val="21"/>
              </w:rPr>
              <w:t>test_a_sim_data.json</w:t>
            </w:r>
          </w:p>
        </w:tc>
      </w:tr>
      <w:tr w14:paraId="61851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68DC58A9">
            <w:pPr>
              <w:spacing w:after="0" w:line="240" w:lineRule="auto"/>
              <w:jc w:val="center"/>
            </w:pPr>
            <w:r>
              <w:rPr>
                <w:rFonts w:eastAsia="宋体"/>
                <w:sz w:val="21"/>
              </w:rPr>
              <w:t>Test B 浮动车数据</w:t>
            </w:r>
          </w:p>
        </w:tc>
        <w:tc>
          <w:tcPr>
            <w:tcW w:w="2340" w:type="dxa"/>
          </w:tcPr>
          <w:p w14:paraId="1B275D09">
            <w:pPr>
              <w:spacing w:after="0" w:line="240" w:lineRule="auto"/>
              <w:jc w:val="center"/>
            </w:pPr>
            <w:r>
              <w:rPr>
                <w:rFonts w:eastAsia="宋体"/>
                <w:sz w:val="21"/>
              </w:rPr>
              <w:t>§3</w:t>
            </w:r>
          </w:p>
        </w:tc>
        <w:tc>
          <w:tcPr>
            <w:tcW w:w="2340" w:type="dxa"/>
          </w:tcPr>
          <w:p w14:paraId="3D9EAB81">
            <w:pPr>
              <w:spacing w:after="0" w:line="240" w:lineRule="auto"/>
              <w:jc w:val="center"/>
            </w:pPr>
            <w:r>
              <w:rPr>
                <w:rFonts w:eastAsia="宋体"/>
                <w:sz w:val="21"/>
              </w:rPr>
              <w:t>复现，23 MB FCD + 轨迹图</w:t>
            </w:r>
          </w:p>
        </w:tc>
        <w:tc>
          <w:tcPr>
            <w:tcW w:w="2340" w:type="dxa"/>
          </w:tcPr>
          <w:p w14:paraId="5B779C5E">
            <w:pPr>
              <w:spacing w:after="0" w:line="240" w:lineRule="auto"/>
              <w:jc w:val="center"/>
            </w:pPr>
            <w:r>
              <w:rPr>
                <w:rFonts w:eastAsia="宋体"/>
                <w:sz w:val="21"/>
              </w:rPr>
              <w:t>test_b_fcd.json、test_b_trajectories.png</w:t>
            </w:r>
          </w:p>
        </w:tc>
      </w:tr>
      <w:tr w14:paraId="3A96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7894FA75">
            <w:pPr>
              <w:spacing w:after="0" w:line="240" w:lineRule="auto"/>
              <w:jc w:val="center"/>
            </w:pPr>
            <w:r>
              <w:rPr>
                <w:rFonts w:eastAsia="宋体"/>
                <w:sz w:val="21"/>
              </w:rPr>
              <w:t>Test C 时空图（最小数据量）</w:t>
            </w:r>
          </w:p>
        </w:tc>
        <w:tc>
          <w:tcPr>
            <w:tcW w:w="2340" w:type="dxa"/>
          </w:tcPr>
          <w:p w14:paraId="4F42E742">
            <w:pPr>
              <w:spacing w:after="0" w:line="240" w:lineRule="auto"/>
              <w:jc w:val="center"/>
            </w:pPr>
            <w:r>
              <w:rPr>
                <w:rFonts w:eastAsia="宋体"/>
                <w:sz w:val="21"/>
              </w:rPr>
              <w:t>§3</w:t>
            </w:r>
          </w:p>
        </w:tc>
        <w:tc>
          <w:tcPr>
            <w:tcW w:w="2340" w:type="dxa"/>
          </w:tcPr>
          <w:p w14:paraId="5AB234A7">
            <w:pPr>
              <w:spacing w:after="0" w:line="240" w:lineRule="auto"/>
              <w:jc w:val="center"/>
            </w:pPr>
            <w:r>
              <w:rPr>
                <w:rFonts w:eastAsia="宋体"/>
                <w:sz w:val="21"/>
              </w:rPr>
              <w:t>复现，仅跟踪 4 条边</w:t>
            </w:r>
          </w:p>
        </w:tc>
        <w:tc>
          <w:tcPr>
            <w:tcW w:w="2340" w:type="dxa"/>
          </w:tcPr>
          <w:p w14:paraId="2F28B9B3">
            <w:pPr>
              <w:spacing w:after="0" w:line="240" w:lineRule="auto"/>
              <w:jc w:val="center"/>
            </w:pPr>
            <w:r>
              <w:rPr>
                <w:rFonts w:eastAsia="宋体"/>
                <w:sz w:val="21"/>
              </w:rPr>
              <w:t>test_c_space_time.png</w:t>
            </w:r>
          </w:p>
        </w:tc>
      </w:tr>
      <w:tr w14:paraId="533EE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FAE234B">
            <w:pPr>
              <w:spacing w:after="0" w:line="240" w:lineRule="auto"/>
              <w:jc w:val="center"/>
            </w:pPr>
            <w:r>
              <w:rPr>
                <w:rFonts w:eastAsia="宋体"/>
                <w:sz w:val="21"/>
              </w:rPr>
              <w:t>Test D ALINEA 匝道控制</w:t>
            </w:r>
          </w:p>
        </w:tc>
        <w:tc>
          <w:tcPr>
            <w:tcW w:w="2340" w:type="dxa"/>
          </w:tcPr>
          <w:p w14:paraId="30D77C37">
            <w:pPr>
              <w:spacing w:after="0" w:line="240" w:lineRule="auto"/>
              <w:jc w:val="center"/>
            </w:pPr>
            <w:r>
              <w:rPr>
                <w:rFonts w:eastAsia="宋体"/>
                <w:sz w:val="21"/>
              </w:rPr>
              <w:t>§3</w:t>
            </w:r>
          </w:p>
        </w:tc>
        <w:tc>
          <w:tcPr>
            <w:tcW w:w="2340" w:type="dxa"/>
          </w:tcPr>
          <w:p w14:paraId="37F14D73">
            <w:pPr>
              <w:spacing w:after="0" w:line="240" w:lineRule="auto"/>
              <w:jc w:val="center"/>
            </w:pPr>
            <w:r>
              <w:rPr>
                <w:rFonts w:eastAsia="宋体"/>
                <w:sz w:val="21"/>
              </w:rPr>
              <w:t>复现，含控制日志与三张工程图</w:t>
            </w:r>
          </w:p>
        </w:tc>
        <w:tc>
          <w:tcPr>
            <w:tcW w:w="2340" w:type="dxa"/>
          </w:tcPr>
          <w:p w14:paraId="2106BC9C">
            <w:pPr>
              <w:spacing w:after="0" w:line="240" w:lineRule="auto"/>
              <w:jc w:val="center"/>
            </w:pPr>
            <w:r>
              <w:rPr>
                <w:rFonts w:eastAsia="宋体"/>
                <w:sz w:val="21"/>
              </w:rPr>
              <w:t>test_d_*.png/csv/json</w:t>
            </w:r>
          </w:p>
        </w:tc>
      </w:tr>
      <w:tr w14:paraId="6863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2331D0CF">
            <w:pPr>
              <w:spacing w:after="0" w:line="240" w:lineRule="auto"/>
              <w:jc w:val="center"/>
            </w:pPr>
            <w:r>
              <w:rPr>
                <w:rFonts w:eastAsia="宋体"/>
                <w:sz w:val="21"/>
              </w:rPr>
              <w:t>Test E 动态事故</w:t>
            </w:r>
          </w:p>
        </w:tc>
        <w:tc>
          <w:tcPr>
            <w:tcW w:w="2340" w:type="dxa"/>
          </w:tcPr>
          <w:p w14:paraId="34F0CB30">
            <w:pPr>
              <w:spacing w:after="0" w:line="240" w:lineRule="auto"/>
              <w:jc w:val="center"/>
            </w:pPr>
            <w:r>
              <w:rPr>
                <w:rFonts w:eastAsia="宋体"/>
                <w:sz w:val="21"/>
              </w:rPr>
              <w:t>§3</w:t>
            </w:r>
          </w:p>
        </w:tc>
        <w:tc>
          <w:tcPr>
            <w:tcW w:w="2340" w:type="dxa"/>
          </w:tcPr>
          <w:p w14:paraId="7083D37D">
            <w:pPr>
              <w:spacing w:after="0" w:line="240" w:lineRule="auto"/>
              <w:jc w:val="center"/>
            </w:pPr>
            <w:r>
              <w:rPr>
                <w:rFonts w:eastAsia="宋体"/>
                <w:sz w:val="21"/>
              </w:rPr>
              <w:t>复现，事故位置与论文一致</w:t>
            </w:r>
          </w:p>
        </w:tc>
        <w:tc>
          <w:tcPr>
            <w:tcW w:w="2340" w:type="dxa"/>
          </w:tcPr>
          <w:p w14:paraId="573BB729">
            <w:pPr>
              <w:spacing w:after="0" w:line="240" w:lineRule="auto"/>
              <w:jc w:val="center"/>
            </w:pPr>
            <w:r>
              <w:rPr>
                <w:rFonts w:eastAsia="宋体"/>
                <w:sz w:val="21"/>
              </w:rPr>
              <w:t>test_e_main2_speed.png</w:t>
            </w:r>
          </w:p>
        </w:tc>
      </w:tr>
      <w:tr w14:paraId="4A134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3D1E5ED3">
            <w:pPr>
              <w:spacing w:after="0" w:line="240" w:lineRule="auto"/>
              <w:jc w:val="center"/>
            </w:pPr>
            <w:r>
              <w:rPr>
                <w:rFonts w:eastAsia="宋体"/>
                <w:sz w:val="21"/>
              </w:rPr>
              <w:t>与原生 TraCI 对照</w:t>
            </w:r>
          </w:p>
        </w:tc>
        <w:tc>
          <w:tcPr>
            <w:tcW w:w="2340" w:type="dxa"/>
          </w:tcPr>
          <w:p w14:paraId="67DEB22D">
            <w:pPr>
              <w:spacing w:after="0" w:line="240" w:lineRule="auto"/>
              <w:jc w:val="center"/>
            </w:pPr>
            <w:r>
              <w:rPr>
                <w:rFonts w:eastAsia="宋体"/>
                <w:sz w:val="21"/>
              </w:rPr>
              <w:t>§4</w:t>
            </w:r>
          </w:p>
        </w:tc>
        <w:tc>
          <w:tcPr>
            <w:tcW w:w="2340" w:type="dxa"/>
          </w:tcPr>
          <w:p w14:paraId="0D15A79C">
            <w:pPr>
              <w:spacing w:after="0" w:line="240" w:lineRule="auto"/>
              <w:jc w:val="center"/>
            </w:pPr>
            <w:r>
              <w:rPr>
                <w:rFonts w:eastAsia="宋体"/>
                <w:sz w:val="21"/>
              </w:rPr>
              <w:t>自写 traci_demo.py 同参数对照</w:t>
            </w:r>
          </w:p>
        </w:tc>
        <w:tc>
          <w:tcPr>
            <w:tcW w:w="2340" w:type="dxa"/>
          </w:tcPr>
          <w:p w14:paraId="3AF83B1C">
            <w:pPr>
              <w:spacing w:after="0" w:line="240" w:lineRule="auto"/>
              <w:jc w:val="center"/>
            </w:pPr>
            <w:r>
              <w:rPr>
                <w:rFonts w:eastAsia="宋体"/>
                <w:sz w:val="21"/>
              </w:rPr>
              <w:t>traci_demo_control.png</w:t>
            </w:r>
          </w:p>
        </w:tc>
      </w:tr>
      <w:tr w14:paraId="5594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12BECB22">
            <w:pPr>
              <w:spacing w:after="0" w:line="240" w:lineRule="auto"/>
              <w:jc w:val="center"/>
            </w:pPr>
            <w:r>
              <w:rPr>
                <w:rFonts w:eastAsia="宋体"/>
                <w:sz w:val="21"/>
              </w:rPr>
              <w:t>六项 KPI 性能基准</w:t>
            </w:r>
          </w:p>
        </w:tc>
        <w:tc>
          <w:tcPr>
            <w:tcW w:w="2340" w:type="dxa"/>
          </w:tcPr>
          <w:p w14:paraId="57F53001">
            <w:pPr>
              <w:spacing w:after="0" w:line="240" w:lineRule="auto"/>
              <w:jc w:val="center"/>
            </w:pPr>
            <w:r>
              <w:rPr>
                <w:rFonts w:eastAsia="宋体"/>
                <w:sz w:val="21"/>
              </w:rPr>
              <w:t>§4</w:t>
            </w:r>
          </w:p>
        </w:tc>
        <w:tc>
          <w:tcPr>
            <w:tcW w:w="2340" w:type="dxa"/>
          </w:tcPr>
          <w:p w14:paraId="7B36ECAE">
            <w:pPr>
              <w:spacing w:after="0" w:line="240" w:lineRule="auto"/>
              <w:jc w:val="center"/>
            </w:pPr>
            <w:r>
              <w:rPr>
                <w:rFonts w:eastAsia="宋体"/>
                <w:sz w:val="21"/>
              </w:rPr>
              <w:t>部分复现：运行时开销方向一致（TraCI 版更快），圈复杂度等静态指标未测</w:t>
            </w:r>
          </w:p>
        </w:tc>
        <w:tc>
          <w:tcPr>
            <w:tcW w:w="2340" w:type="dxa"/>
          </w:tcPr>
          <w:p w14:paraId="1D804FB4">
            <w:pPr>
              <w:spacing w:after="0" w:line="240" w:lineRule="auto"/>
              <w:jc w:val="center"/>
            </w:pPr>
            <w:r>
              <w:rPr>
                <w:rFonts w:eastAsia="宋体"/>
                <w:sz w:val="21"/>
              </w:rPr>
              <w:t>—</w:t>
            </w:r>
          </w:p>
        </w:tc>
      </w:tr>
    </w:tbl>
    <w:p w14:paraId="2C66ECDA"/>
    <w:p w14:paraId="42DE4BBA">
      <w:pPr>
        <w:ind w:firstLine="480"/>
      </w:pPr>
      <w:r>
        <w:rPr>
          <w:rFonts w:eastAsia="宋体"/>
          <w:b w:val="0"/>
        </w:rPr>
        <w:t>总体而言，论文 §3 的五个基准测试全部复现成功，论文 Table 1 列出的 13 个接口函数中我们实际用到了 9 个（start、step_through、end、print_summary、save_fc_data、add_tracked_edges、save_data、get_interval_detector_data、set_tl_metering_rate、cause_incident、add_tracked_junctions、plot 系列另行调用）。所有结果文件由脚本实际运行生成，固定随机种子后可精确复现。</w:t>
      </w:r>
    </w:p>
    <w:p w14:paraId="6ACA3E26">
      <w:pPr>
        <w:pStyle w:val="4"/>
      </w:pPr>
      <w:r>
        <w:t>6.2 结论与体会</w:t>
      </w:r>
    </w:p>
    <w:p w14:paraId="67290D98">
      <w:pPr>
        <w:ind w:firstLine="480"/>
      </w:pPr>
      <w:r>
        <w:rPr>
          <w:rFonts w:eastAsia="宋体"/>
          <w:b w:val="0"/>
        </w:rPr>
        <w:t>通过本次复现完整走通了 SUMO 的标准工作流：手写路网定义、netconvert 编译、需求配置、检测器与输出设置、GUI 与命令行两种运行方式、四类原生输出文件的解析，以及 Python 通过 TraCI 与仿真实时交互的两种路线（TUD-SUMO 封装与原生接口）。复现结果与论文描述一致：TUD-SUMO 的简化接口和自动数据收集确实能把仿真管理代码压缩到最少，事件系统让事故等场景可复现，工程导向可视化（相位时序、放行率、排队）省去了大量绘图工作；而其代价是封装层带来的运行时开销，这一点在我们的对照实现中同样可以观察到。实验也让我们认识到微观仿真的结果强烈依赖于路网连接定义等建模细节，任何仿真结论都应先检查模型</w:t>
      </w:r>
      <w:bookmarkStart w:id="0" w:name="_GoBack"/>
      <w:bookmarkEnd w:id="0"/>
      <w:r>
        <w:rPr>
          <w:rFonts w:eastAsia="宋体"/>
          <w:b w:val="0"/>
        </w:rPr>
        <w:t>本身是否合理。</w:t>
      </w:r>
    </w:p>
    <w:sectPr>
      <w:footerReference r:id="rId5" w:type="default"/>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247FB">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B642D1"/>
    <w:rsid w:val="6F3334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660</Words>
  <Characters>1060</Characters>
  <Lines>0</Lines>
  <Paragraphs>0</Paragraphs>
  <TotalTime>5</TotalTime>
  <ScaleCrop>false</ScaleCrop>
  <LinksUpToDate>false</LinksUpToDate>
  <CharactersWithSpaces>1153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北落师门β</dc:creator>
  <cp:lastModifiedBy>北落师门β</cp:lastModifiedBy>
  <dcterms:modified xsi:type="dcterms:W3CDTF">2026-09-23T15:46:49Z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eyJoZGlkIjoiNzU3MWE2NDRjOGVkZTg2ZmRjMDYxOWUzYmJjN2ZiYjAiLCJ1c2VySWQiOiIxMjg2MjExMzE4In0=</vt:lpwstr>
  </property>
  <property fmtid="{D5CDD505-2E9C-101B-9397-08002B2CF9AE}" pid="3" name="KSOProductBuildVer">
    <vt:lpwstr>2052-12.1.0.28505</vt:lpwstr>
  </property>
  <property fmtid="{D5CDD505-2E9C-101B-9397-08002B2CF9AE}" pid="4" name="ICV">
    <vt:lpwstr>78BFCED309C64A3190E7203039D29556_12</vt:lpwstr>
  </property>
</Properties>
</file>