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2142E"/>
        <w:spacing w:before="1600" w:after="0"/>
      </w:pPr>
      <w:r>
        <w:rPr>
          <w:rFonts w:ascii="Calibri" w:hAnsi="Calibri"/>
          <w:b/>
          <w:color w:val="F57C00"/>
          <w:sz w:val="80"/>
        </w:rPr>
        <w:t xml:space="preserve">   EGG BASKET</w:t>
      </w:r>
    </w:p>
    <w:p>
      <w:pPr>
        <w:shd w:val="clear" w:color="auto" w:fill="12142E"/>
        <w:spacing w:after="0"/>
      </w:pPr>
      <w:r>
        <w:rPr>
          <w:rFonts w:ascii="Calibri" w:hAnsi="Calibri"/>
          <w:color w:val="FFFFFF"/>
          <w:sz w:val="40"/>
        </w:rPr>
        <w:t xml:space="preserve">   UK Stock Screener</w:t>
      </w:r>
    </w:p>
    <w:p>
      <w:pPr>
        <w:shd w:val="clear" w:color="auto" w:fill="12142E"/>
        <w:spacing w:after="0"/>
      </w:pPr>
      <w:r>
        <w:rPr>
          <w:rFonts w:ascii="Calibri" w:hAnsi="Calibri"/>
          <w:i/>
          <w:color w:val="AAAACC"/>
          <w:sz w:val="28"/>
        </w:rPr>
        <w:t xml:space="preserve">   User Guide</w:t>
      </w:r>
    </w:p>
    <w:p>
      <w:pPr>
        <w:shd w:val="clear" w:color="auto" w:fill="12142E"/>
        <w:spacing w:after="2000"/>
      </w:pPr>
      <w:r/>
    </w:p>
    <w:p>
      <w:r>
        <w:br w:type="page"/>
      </w:r>
    </w:p>
    <w:p>
      <w:pPr>
        <w:shd w:val="clear" w:color="auto" w:fill="12142E"/>
        <w:spacing w:before="480" w:after="160"/>
      </w:pPr>
      <w:r>
        <w:rPr>
          <w:rFonts w:ascii="Calibri" w:hAnsi="Calibri"/>
          <w:b/>
          <w:color w:val="F57C00"/>
          <w:sz w:val="30"/>
        </w:rPr>
        <w:t xml:space="preserve">     What is Egg Basket?</w:t>
      </w:r>
    </w:p>
    <w:p>
      <w:pPr>
        <w:spacing w:before="40" w:after="120"/>
      </w:pPr>
      <w:r>
        <w:rPr>
          <w:rFonts w:ascii="Calibri" w:hAnsi="Calibri"/>
          <w:color w:val="222233"/>
          <w:sz w:val="20"/>
        </w:rPr>
        <w:t>Egg Basket is a web-based research tool for finding, evaluating, and monitoring UK-listed stocks. Rather than wading through individual company reports, it pulls together the numbers that matter most — financial health, valuation, growth, and market momentum — into a single screen, so you can compare hundreds of companies at a glance and drill into the ones that interest you.</w:t>
      </w:r>
    </w:p>
    <w:p>
      <w:pPr>
        <w:spacing w:before="40" w:after="120"/>
      </w:pPr>
      <w:r>
        <w:rPr>
          <w:rFonts w:ascii="Calibri" w:hAnsi="Calibri"/>
          <w:color w:val="222233"/>
          <w:sz w:val="20"/>
        </w:rPr>
        <w:t>The tool has two main jobs:</w:t>
      </w:r>
    </w:p>
    <w:p>
      <w:pPr>
        <w:spacing w:before="20" w:after="40"/>
        <w:ind w:left="340"/>
      </w:pPr>
      <w:r>
        <w:rPr>
          <w:rFonts w:ascii="Calibri" w:hAnsi="Calibri"/>
          <w:color w:val="F57C00"/>
          <w:sz w:val="20"/>
        </w:rPr>
        <w:t xml:space="preserve">•  </w:t>
      </w:r>
      <w:r>
        <w:rPr>
          <w:rFonts w:ascii="Calibri" w:hAnsi="Calibri"/>
          <w:color w:val="222233"/>
          <w:sz w:val="20"/>
        </w:rPr>
        <w:t>Screening — filtering the market down from hundreds of companies to the handful that match your criteria.</w:t>
      </w:r>
    </w:p>
    <w:p>
      <w:pPr>
        <w:spacing w:before="20" w:after="40"/>
        <w:ind w:left="340"/>
      </w:pPr>
      <w:r>
        <w:rPr>
          <w:rFonts w:ascii="Calibri" w:hAnsi="Calibri"/>
          <w:color w:val="F57C00"/>
          <w:sz w:val="20"/>
        </w:rPr>
        <w:t xml:space="preserve">•  </w:t>
      </w:r>
      <w:r>
        <w:rPr>
          <w:rFonts w:ascii="Calibri" w:hAnsi="Calibri"/>
          <w:color w:val="222233"/>
          <w:sz w:val="20"/>
        </w:rPr>
        <w:t>Analysis — once you have found a candidate, giving you the financial detail to decide whether it deserves further research.</w:t>
      </w:r>
    </w:p>
    <w:p>
      <w:pPr>
        <w:spacing w:before="40" w:after="120"/>
      </w:pPr>
      <w:r>
        <w:rPr>
          <w:rFonts w:ascii="Calibri" w:hAnsi="Calibri"/>
          <w:color w:val="222233"/>
          <w:sz w:val="20"/>
        </w:rPr>
        <w:t>It also includes market-wide tools — a Fear &amp; Greed index, a sector rotation model, and macro indicators — to help you understand the broader environment your stocks are operating in.</w:t>
      </w:r>
    </w:p>
    <w:p>
      <w:pPr>
        <w:shd w:val="clear" w:color="auto" w:fill="FFF3E0"/>
        <w:pBdr>
          <w:left w:val="single" w:sz="24" w:space="8" w:color="F57C00"/>
        </w:pBdr>
        <w:spacing w:before="120" w:after="160"/>
        <w:ind w:left="227"/>
      </w:pPr>
      <w:r>
        <w:rPr>
          <w:rFonts w:ascii="Calibri" w:hAnsi="Calibri"/>
          <w:b/>
          <w:color w:val="C06A00"/>
          <w:sz w:val="19"/>
        </w:rPr>
        <w:t xml:space="preserve">💡  Tip:  </w:t>
      </w:r>
      <w:r>
        <w:rPr>
          <w:rFonts w:ascii="Calibri" w:hAnsi="Calibri"/>
          <w:i/>
          <w:color w:val="222233"/>
          <w:sz w:val="19"/>
        </w:rPr>
        <w:t>Start with the Screener to find candidates, then click through to a Company Detail page to understand whether the numbers justify further research.</w:t>
      </w:r>
    </w:p>
    <w:p>
      <w:pPr>
        <w:shd w:val="clear" w:color="auto" w:fill="12142E"/>
        <w:spacing w:before="480" w:after="160"/>
      </w:pPr>
      <w:r>
        <w:rPr>
          <w:rFonts w:ascii="Calibri" w:hAnsi="Calibri"/>
          <w:b/>
          <w:color w:val="F57C00"/>
          <w:sz w:val="30"/>
        </w:rPr>
        <w:t xml:space="preserve">     Getting Around</w:t>
      </w:r>
    </w:p>
    <w:p>
      <w:pPr>
        <w:pBdr>
          <w:bottom w:val="single" w:sz="6" w:space="1" w:color="F57C00"/>
        </w:pBdr>
        <w:spacing w:before="320" w:after="100"/>
      </w:pPr>
      <w:r>
        <w:rPr>
          <w:rFonts w:ascii="Calibri" w:hAnsi="Calibri"/>
          <w:b/>
          <w:color w:val="12142E"/>
          <w:sz w:val="24"/>
        </w:rPr>
        <w:t>The Navigation Bar</w:t>
      </w:r>
    </w:p>
    <w:p>
      <w:pPr>
        <w:spacing w:before="40" w:after="120"/>
      </w:pPr>
      <w:r>
        <w:rPr>
          <w:rFonts w:ascii="Calibri" w:hAnsi="Calibri"/>
          <w:color w:val="222233"/>
          <w:sz w:val="20"/>
        </w:rPr>
        <w:t>The bar at the top of the screen is always visible. From left to right:</w:t>
      </w:r>
    </w:p>
    <w:p>
      <w:pPr>
        <w:spacing w:before="40" w:after="100"/>
      </w:pPr>
      <w:r>
        <w:rPr>
          <w:rFonts w:ascii="Calibri" w:hAnsi="Calibri"/>
          <w:b/>
          <w:color w:val="12142E"/>
          <w:sz w:val="20"/>
        </w:rPr>
        <w:t xml:space="preserve">Egg Basket logo  </w:t>
      </w:r>
      <w:r>
        <w:rPr>
          <w:rFonts w:ascii="Calibri" w:hAnsi="Calibri"/>
          <w:color w:val="222233"/>
          <w:sz w:val="20"/>
        </w:rPr>
        <w:t>—  returns you to the main screener from anywhere in the app.</w:t>
      </w:r>
    </w:p>
    <w:p>
      <w:pPr>
        <w:spacing w:before="40" w:after="100"/>
      </w:pPr>
      <w:r>
        <w:rPr>
          <w:rFonts w:ascii="Calibri" w:hAnsi="Calibri"/>
          <w:b/>
          <w:color w:val="12142E"/>
          <w:sz w:val="20"/>
        </w:rPr>
        <w:t xml:space="preserve">Screener  </w:t>
      </w:r>
      <w:r>
        <w:rPr>
          <w:rFonts w:ascii="Calibri" w:hAnsi="Calibri"/>
          <w:color w:val="222233"/>
          <w:sz w:val="20"/>
        </w:rPr>
        <w:t>—  the main stock list. Most sessions start here.</w:t>
      </w:r>
    </w:p>
    <w:p>
      <w:pPr>
        <w:spacing w:before="40" w:after="100"/>
      </w:pPr>
      <w:r>
        <w:rPr>
          <w:rFonts w:ascii="Calibri" w:hAnsi="Calibri"/>
          <w:b/>
          <w:color w:val="12142E"/>
          <w:sz w:val="20"/>
        </w:rPr>
        <w:t xml:space="preserve">Sector Analysis  </w:t>
      </w:r>
      <w:r>
        <w:rPr>
          <w:rFonts w:ascii="Calibri" w:hAnsi="Calibri"/>
          <w:color w:val="222233"/>
          <w:sz w:val="20"/>
        </w:rPr>
        <w:t>—  dropdown for Rotation, Breadth, and Signal Log pages.</w:t>
      </w:r>
    </w:p>
    <w:p>
      <w:pPr>
        <w:spacing w:before="40" w:after="100"/>
      </w:pPr>
      <w:r>
        <w:rPr>
          <w:rFonts w:ascii="Calibri" w:hAnsi="Calibri"/>
          <w:b/>
          <w:color w:val="12142E"/>
          <w:sz w:val="20"/>
        </w:rPr>
        <w:t xml:space="preserve">Markets  </w:t>
      </w:r>
      <w:r>
        <w:rPr>
          <w:rFonts w:ascii="Calibri" w:hAnsi="Calibri"/>
          <w:color w:val="222233"/>
          <w:sz w:val="20"/>
        </w:rPr>
        <w:t>—  dropdown for Fear &amp; Greed and Cross-Asset (currencies, commodities, gilt yields).</w:t>
      </w:r>
    </w:p>
    <w:p>
      <w:pPr>
        <w:spacing w:before="40" w:after="100"/>
      </w:pPr>
      <w:r>
        <w:rPr>
          <w:rFonts w:ascii="Calibri" w:hAnsi="Calibri"/>
          <w:b/>
          <w:color w:val="12142E"/>
          <w:sz w:val="20"/>
        </w:rPr>
        <w:t xml:space="preserve">↻ Market  </w:t>
      </w:r>
      <w:r>
        <w:rPr>
          <w:rFonts w:ascii="Calibri" w:hAnsi="Calibri"/>
          <w:color w:val="222233"/>
          <w:sz w:val="20"/>
        </w:rPr>
        <w:t>—  refreshes all live data: benchmarks, VIX, sector prices, Fear &amp; Greed. Use this at the start of each session.</w:t>
      </w:r>
    </w:p>
    <w:p>
      <w:pPr>
        <w:spacing w:before="40" w:after="100"/>
      </w:pPr>
      <w:r>
        <w:rPr>
          <w:rFonts w:ascii="Calibri" w:hAnsi="Calibri"/>
          <w:b/>
          <w:color w:val="12142E"/>
          <w:sz w:val="20"/>
        </w:rPr>
        <w:t xml:space="preserve">↻ Stock Prices  </w:t>
      </w:r>
      <w:r>
        <w:rPr>
          <w:rFonts w:ascii="Calibri" w:hAnsi="Calibri"/>
          <w:color w:val="222233"/>
          <w:sz w:val="20"/>
        </w:rPr>
        <w:t>—  updates the price history database for all stocks. Run once a day to keep charts and momentum scores current. A toast confirms how many rows were added.</w:t>
      </w:r>
    </w:p>
    <w:p>
      <w:pPr>
        <w:spacing w:before="40" w:after="100"/>
      </w:pPr>
      <w:r>
        <w:rPr>
          <w:rFonts w:ascii="Calibri" w:hAnsi="Calibri"/>
          <w:b/>
          <w:color w:val="12142E"/>
          <w:sz w:val="20"/>
        </w:rPr>
        <w:t xml:space="preserve">Search box  </w:t>
      </w:r>
      <w:r>
        <w:rPr>
          <w:rFonts w:ascii="Calibri" w:hAnsi="Calibri"/>
          <w:color w:val="222233"/>
          <w:sz w:val="20"/>
        </w:rPr>
        <w:t>—  type any ticker (e.g. AZN) or company name. On the screener it scrolls to and highlights that row; elsewhere it opens the company page directly.</w:t>
      </w:r>
    </w:p>
    <w:p>
      <w:pPr>
        <w:pBdr>
          <w:bottom w:val="single" w:sz="6" w:space="1" w:color="F57C00"/>
        </w:pBdr>
        <w:spacing w:before="320" w:after="100"/>
      </w:pPr>
      <w:r>
        <w:rPr>
          <w:rFonts w:ascii="Calibri" w:hAnsi="Calibri"/>
          <w:b/>
          <w:color w:val="12142E"/>
          <w:sz w:val="24"/>
        </w:rPr>
        <w:t>The Left Sidebar</w:t>
      </w:r>
    </w:p>
    <w:p>
      <w:pPr>
        <w:spacing w:before="40" w:after="120"/>
      </w:pPr>
      <w:r>
        <w:rPr>
          <w:rFonts w:ascii="Calibri" w:hAnsi="Calibri"/>
          <w:color w:val="222233"/>
          <w:sz w:val="20"/>
        </w:rPr>
        <w:t>The sidebar gives you a live market snapshot at all times. It refreshes when you press ↻ Market and can be collapsed with the panel icon in the top-left of the navbar.</w:t>
      </w:r>
    </w:p>
    <w:p>
      <w:pPr>
        <w:spacing w:before="20" w:after="40"/>
        <w:ind w:left="340"/>
      </w:pPr>
      <w:r>
        <w:rPr>
          <w:rFonts w:ascii="Calibri" w:hAnsi="Calibri"/>
          <w:color w:val="F57C00"/>
          <w:sz w:val="20"/>
        </w:rPr>
        <w:t xml:space="preserve">•  </w:t>
      </w:r>
      <w:r>
        <w:rPr>
          <w:rFonts w:ascii="Calibri" w:hAnsi="Calibri"/>
          <w:color w:val="222233"/>
          <w:sz w:val="20"/>
        </w:rPr>
        <w:t>The three FTSE benchmarks show how the broad market is moving today — a quick orientation before anything else.</w:t>
      </w:r>
    </w:p>
    <w:p>
      <w:pPr>
        <w:spacing w:before="20" w:after="40"/>
        <w:ind w:left="340"/>
      </w:pPr>
      <w:r>
        <w:rPr>
          <w:rFonts w:ascii="Calibri" w:hAnsi="Calibri"/>
          <w:color w:val="F57C00"/>
          <w:sz w:val="20"/>
        </w:rPr>
        <w:t xml:space="preserve">•  </w:t>
      </w:r>
      <w:r>
        <w:rPr>
          <w:rFonts w:ascii="Calibri" w:hAnsi="Calibri"/>
          <w:color w:val="222233"/>
          <w:sz w:val="20"/>
        </w:rPr>
        <w:t>VIX is the US equity volatility index and a widely-watched measure of investor anxiety. Below 20 is calm; above 30 is elevated; above 40 is panic territory.</w:t>
      </w:r>
    </w:p>
    <w:p>
      <w:pPr>
        <w:spacing w:before="20" w:after="40"/>
        <w:ind w:left="340"/>
      </w:pPr>
      <w:r>
        <w:rPr>
          <w:rFonts w:ascii="Calibri" w:hAnsi="Calibri"/>
          <w:color w:val="F57C00"/>
          <w:sz w:val="20"/>
        </w:rPr>
        <w:t xml:space="preserve">•  </w:t>
      </w:r>
      <w:r>
        <w:rPr>
          <w:rFonts w:ascii="Calibri" w:hAnsi="Calibri"/>
          <w:color w:val="222233"/>
          <w:sz w:val="20"/>
        </w:rPr>
        <w:t>UK Fear &amp; Greed shows the app’s composite sentiment score, its direction of travel, and which business cycle phase it is pointing to. The full explanation is in the Markets section.</w:t>
      </w:r>
    </w:p>
    <w:p>
      <w:pPr>
        <w:spacing w:before="20" w:after="40"/>
        <w:ind w:left="340"/>
      </w:pPr>
      <w:r>
        <w:rPr>
          <w:rFonts w:ascii="Calibri" w:hAnsi="Calibri"/>
          <w:color w:val="F57C00"/>
          <w:sz w:val="20"/>
        </w:rPr>
        <w:t xml:space="preserve">•  </w:t>
      </w:r>
      <w:r>
        <w:rPr>
          <w:rFonts w:ascii="Calibri" w:hAnsi="Calibri"/>
          <w:color w:val="222233"/>
          <w:sz w:val="20"/>
        </w:rPr>
        <w:t>ICB Sectors shows today’s percentage move for each major industry group — useful for spotting what is leading or lagging on any given day.</w:t>
      </w:r>
    </w:p>
    <w:p>
      <w:pPr>
        <w:spacing w:before="20" w:after="40"/>
        <w:ind w:left="340"/>
      </w:pPr>
      <w:r>
        <w:rPr>
          <w:rFonts w:ascii="Calibri" w:hAnsi="Calibri"/>
          <w:color w:val="F57C00"/>
          <w:sz w:val="20"/>
        </w:rPr>
        <w:t xml:space="preserve">•  </w:t>
      </w:r>
      <w:r>
        <w:rPr>
          <w:rFonts w:ascii="Calibri" w:hAnsi="Calibri"/>
          <w:color w:val="222233"/>
          <w:sz w:val="20"/>
        </w:rPr>
        <w:t>Model Signal shows the current cycle phase, the percentage of FTSE 100 stocks in healthy uptrends, and which sector has the strongest relative momentum right now.</w:t>
      </w:r>
    </w:p>
    <w:p>
      <w:r>
        <w:br w:type="page"/>
      </w:r>
    </w:p>
    <w:p>
      <w:pPr>
        <w:shd w:val="clear" w:color="auto" w:fill="12142E"/>
        <w:spacing w:before="480" w:after="160"/>
      </w:pPr>
      <w:r>
        <w:rPr>
          <w:rFonts w:ascii="Calibri" w:hAnsi="Calibri"/>
          <w:b/>
          <w:color w:val="F57C00"/>
          <w:sz w:val="30"/>
        </w:rPr>
        <w:t xml:space="preserve">     The Screener</w:t>
      </w:r>
    </w:p>
    <w:p>
      <w:pPr>
        <w:spacing w:before="40" w:after="120"/>
      </w:pPr>
      <w:r>
        <w:rPr>
          <w:rFonts w:ascii="Calibri" w:hAnsi="Calibri"/>
          <w:color w:val="222233"/>
          <w:sz w:val="20"/>
        </w:rPr>
        <w:t>The screener is a filterable table of every UK-listed company in the database. Think of it as a search engine for stocks: set your criteria and it returns the companies that match. The table updates live as you adjust the filters — there is no button to press.</w:t>
      </w:r>
    </w:p>
    <w:p>
      <w:pPr>
        <w:pBdr>
          <w:bottom w:val="single" w:sz="6" w:space="1" w:color="F57C00"/>
        </w:pBdr>
        <w:spacing w:before="320" w:after="100"/>
      </w:pPr>
      <w:r>
        <w:rPr>
          <w:rFonts w:ascii="Calibri" w:hAnsi="Calibri"/>
          <w:b/>
          <w:color w:val="12142E"/>
          <w:sz w:val="24"/>
        </w:rPr>
        <w:t>Standard Filters</w:t>
      </w:r>
    </w:p>
    <w:p>
      <w:pPr>
        <w:spacing w:before="20" w:after="40"/>
        <w:ind w:left="340"/>
      </w:pPr>
      <w:r>
        <w:rPr>
          <w:rFonts w:ascii="Calibri" w:hAnsi="Calibri"/>
          <w:color w:val="F57C00"/>
          <w:sz w:val="20"/>
        </w:rPr>
        <w:t xml:space="preserve">•  </w:t>
      </w:r>
      <w:r>
        <w:rPr>
          <w:rFonts w:ascii="Calibri" w:hAnsi="Calibri"/>
          <w:b/>
          <w:color w:val="12142E"/>
          <w:sz w:val="20"/>
        </w:rPr>
        <w:t xml:space="preserve">Sector  </w:t>
      </w:r>
      <w:r>
        <w:rPr>
          <w:rFonts w:ascii="Calibri" w:hAnsi="Calibri"/>
          <w:color w:val="222233"/>
          <w:sz w:val="20"/>
        </w:rPr>
        <w:t>narrows results to a specific industry group (e.g. Technology, Health Care, Financials).</w:t>
      </w:r>
    </w:p>
    <w:p>
      <w:pPr>
        <w:spacing w:before="20" w:after="40"/>
        <w:ind w:left="340"/>
      </w:pPr>
      <w:r>
        <w:rPr>
          <w:rFonts w:ascii="Calibri" w:hAnsi="Calibri"/>
          <w:color w:val="F57C00"/>
          <w:sz w:val="20"/>
        </w:rPr>
        <w:t xml:space="preserve">•  </w:t>
      </w:r>
      <w:r>
        <w:rPr>
          <w:rFonts w:ascii="Calibri" w:hAnsi="Calibri"/>
          <w:b/>
          <w:color w:val="12142E"/>
          <w:sz w:val="20"/>
        </w:rPr>
        <w:t xml:space="preserve">FTSE Index  </w:t>
      </w:r>
      <w:r>
        <w:rPr>
          <w:rFonts w:ascii="Calibri" w:hAnsi="Calibri"/>
          <w:color w:val="222233"/>
          <w:sz w:val="20"/>
        </w:rPr>
        <w:t>limits results to companies in the FTSE 100, 250, 350, SmallCap, or the full All-Share.</w:t>
      </w:r>
    </w:p>
    <w:p>
      <w:pPr>
        <w:spacing w:before="20" w:after="40"/>
        <w:ind w:left="340"/>
      </w:pPr>
      <w:r>
        <w:rPr>
          <w:rFonts w:ascii="Calibri" w:hAnsi="Calibri"/>
          <w:color w:val="F57C00"/>
          <w:sz w:val="20"/>
        </w:rPr>
        <w:t xml:space="preserve">•  </w:t>
      </w:r>
      <w:r>
        <w:rPr>
          <w:rFonts w:ascii="Calibri" w:hAnsi="Calibri"/>
          <w:b/>
          <w:color w:val="12142E"/>
          <w:sz w:val="20"/>
        </w:rPr>
        <w:t xml:space="preserve">Market Cap  </w:t>
      </w:r>
      <w:r>
        <w:rPr>
          <w:rFonts w:ascii="Calibri" w:hAnsi="Calibri"/>
          <w:color w:val="222233"/>
          <w:sz w:val="20"/>
        </w:rPr>
        <w:t>sets a minimum company size in billions of pounds. Use this to filter out very small companies that may be illiquid or thinly researched.</w:t>
      </w:r>
    </w:p>
    <w:p>
      <w:pPr>
        <w:pBdr>
          <w:bottom w:val="single" w:sz="6" w:space="1" w:color="F57C00"/>
        </w:pBdr>
        <w:spacing w:before="320" w:after="100"/>
      </w:pPr>
      <w:r>
        <w:rPr>
          <w:rFonts w:ascii="Calibri" w:hAnsi="Calibri"/>
          <w:b/>
          <w:color w:val="12142E"/>
          <w:sz w:val="24"/>
        </w:rPr>
        <w:t>Advanced Filters</w:t>
      </w:r>
    </w:p>
    <w:p>
      <w:pPr>
        <w:spacing w:before="40" w:after="120"/>
      </w:pPr>
      <w:r>
        <w:rPr>
          <w:rFonts w:ascii="Calibri" w:hAnsi="Calibri"/>
          <w:color w:val="222233"/>
          <w:sz w:val="20"/>
        </w:rPr>
        <w:t>Click Advanced ▼ to reveal seven more filters. The button turns orange when any are active. The company count above the table (e.g. “47 / 312 companies”) updates in real time.</w:t>
      </w:r>
    </w:p>
    <w:p>
      <w:pPr>
        <w:spacing w:before="20" w:after="40"/>
        <w:ind w:left="340"/>
      </w:pPr>
      <w:r>
        <w:rPr>
          <w:rFonts w:ascii="Calibri" w:hAnsi="Calibri"/>
          <w:color w:val="F57C00"/>
          <w:sz w:val="20"/>
        </w:rPr>
        <w:t xml:space="preserve">•  </w:t>
      </w:r>
      <w:r>
        <w:rPr>
          <w:rFonts w:ascii="Calibri" w:hAnsi="Calibri"/>
          <w:b/>
          <w:color w:val="12142E"/>
          <w:sz w:val="20"/>
        </w:rPr>
        <w:t xml:space="preserve">Momentum  </w:t>
      </w:r>
      <w:r>
        <w:rPr>
          <w:rFonts w:ascii="Calibri" w:hAnsi="Calibri"/>
          <w:color w:val="222233"/>
          <w:sz w:val="20"/>
        </w:rPr>
        <w:t>a measure of recent price strength relative to peers. Stocks with high momentum have been trending upward steadily over the past year. The evidence base for momentum strategies is well-established — stocks that have been rising tend to continue outperforming in the near term.</w:t>
      </w:r>
    </w:p>
    <w:p>
      <w:pPr>
        <w:spacing w:before="20" w:after="40"/>
        <w:ind w:left="340"/>
      </w:pPr>
      <w:r>
        <w:rPr>
          <w:rFonts w:ascii="Calibri" w:hAnsi="Calibri"/>
          <w:color w:val="F57C00"/>
          <w:sz w:val="20"/>
        </w:rPr>
        <w:t xml:space="preserve">•  </w:t>
      </w:r>
      <w:r>
        <w:rPr>
          <w:rFonts w:ascii="Calibri" w:hAnsi="Calibri"/>
          <w:b/>
          <w:color w:val="12142E"/>
          <w:sz w:val="20"/>
        </w:rPr>
        <w:t xml:space="preserve">Quality  </w:t>
      </w:r>
      <w:r>
        <w:rPr>
          <w:rFonts w:ascii="Calibri" w:hAnsi="Calibri"/>
          <w:color w:val="222233"/>
          <w:sz w:val="20"/>
        </w:rPr>
        <w:t>a summary of business quality: strong returns on capital, healthy margins, and consistent free cash flow. A high Quality score suggests a company with a durable competitive advantage.</w:t>
      </w:r>
    </w:p>
    <w:p>
      <w:pPr>
        <w:spacing w:before="20" w:after="40"/>
        <w:ind w:left="340"/>
      </w:pPr>
      <w:r>
        <w:rPr>
          <w:rFonts w:ascii="Calibri" w:hAnsi="Calibri"/>
          <w:color w:val="F57C00"/>
          <w:sz w:val="20"/>
        </w:rPr>
        <w:t xml:space="preserve">•  </w:t>
      </w:r>
      <w:r>
        <w:rPr>
          <w:rFonts w:ascii="Calibri" w:hAnsi="Calibri"/>
          <w:b/>
          <w:color w:val="12142E"/>
          <w:sz w:val="20"/>
        </w:rPr>
        <w:t xml:space="preserve">Value  </w:t>
      </w:r>
      <w:r>
        <w:rPr>
          <w:rFonts w:ascii="Calibri" w:hAnsi="Calibri"/>
          <w:color w:val="222233"/>
          <w:sz w:val="20"/>
        </w:rPr>
        <w:t>the Piotroski F-Score — a nine-point checklist of whether fundamentals are improving. It does not measure cheapness; it measures direction. A high score means things are getting better across profitability, leverage, and efficiency.</w:t>
      </w:r>
    </w:p>
    <w:p>
      <w:pPr>
        <w:spacing w:before="20" w:after="40"/>
        <w:ind w:left="340"/>
      </w:pPr>
      <w:r>
        <w:rPr>
          <w:rFonts w:ascii="Calibri" w:hAnsi="Calibri"/>
          <w:color w:val="F57C00"/>
          <w:sz w:val="20"/>
        </w:rPr>
        <w:t xml:space="preserve">•  </w:t>
      </w:r>
      <w:r>
        <w:rPr>
          <w:rFonts w:ascii="Calibri" w:hAnsi="Calibri"/>
          <w:b/>
          <w:color w:val="12142E"/>
          <w:sz w:val="20"/>
        </w:rPr>
        <w:t xml:space="preserve">Risk  </w:t>
      </w:r>
      <w:r>
        <w:rPr>
          <w:rFonts w:ascii="Calibri" w:hAnsi="Calibri"/>
          <w:color w:val="222233"/>
          <w:sz w:val="20"/>
        </w:rPr>
        <w:t>a measure of financial fragility, blending balance-sheet stress with price volatility. Lower is better. Use this to exclude companies that look stretched or unpredictable.</w:t>
      </w:r>
    </w:p>
    <w:p>
      <w:pPr>
        <w:shd w:val="clear" w:color="auto" w:fill="FFF3E0"/>
        <w:pBdr>
          <w:left w:val="single" w:sz="24" w:space="8" w:color="F57C00"/>
        </w:pBdr>
        <w:spacing w:before="120" w:after="160"/>
        <w:ind w:left="227"/>
      </w:pPr>
      <w:r>
        <w:rPr>
          <w:rFonts w:ascii="Calibri" w:hAnsi="Calibri"/>
          <w:b/>
          <w:color w:val="C06A00"/>
          <w:sz w:val="19"/>
        </w:rPr>
        <w:t xml:space="preserve">💡  Tip:  </w:t>
      </w:r>
      <w:r>
        <w:rPr>
          <w:rFonts w:ascii="Calibri" w:hAnsi="Calibri"/>
          <w:i/>
          <w:color w:val="222233"/>
          <w:sz w:val="19"/>
        </w:rPr>
        <w:t>A useful starting screen: Quality ≥8, Value ≥6, Risk ≤5. This finds improving, quality businesses with manageable risk — typically 20–50 names from the full All-Share.</w:t>
      </w:r>
    </w:p>
    <w:p>
      <w:pPr>
        <w:pBdr>
          <w:bottom w:val="single" w:sz="6" w:space="1" w:color="F57C00"/>
        </w:pBdr>
        <w:spacing w:before="320" w:after="100"/>
      </w:pPr>
      <w:r>
        <w:rPr>
          <w:rFonts w:ascii="Calibri" w:hAnsi="Calibri"/>
          <w:b/>
          <w:color w:val="12142E"/>
          <w:sz w:val="24"/>
        </w:rPr>
        <w:t>Reading the Results Table</w:t>
      </w:r>
    </w:p>
    <w:p>
      <w:pPr>
        <w:spacing w:before="40" w:after="120"/>
      </w:pPr>
      <w:r>
        <w:rPr>
          <w:rFonts w:ascii="Calibri" w:hAnsi="Calibri"/>
          <w:color w:val="222233"/>
          <w:sz w:val="20"/>
        </w:rPr>
        <w:t>Each row is one company. Colour coding gives you an instant signal on the most important metrics:</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3138"/>
        <w:gridCol w:w="3138"/>
        <w:gridCol w:w="3138"/>
      </w:tblGrid>
      <w:tr>
        <w:tc>
          <w:tcPr>
            <w:tcW w:type="dxa" w:w="1247"/>
            <w:shd w:val="clear" w:color="auto" w:fill="1E203E"/>
            <w:tcMar>
              <w:top w:w="100" w:type="dxa"/>
              <w:bottom w:w="100" w:type="dxa"/>
              <w:left w:w="130" w:type="dxa"/>
              <w:right w:w="130" w:type="dxa"/>
            </w:tcMar>
          </w:tcPr>
          <w:p>
            <w:pPr>
              <w:spacing w:before="0" w:after="0"/>
            </w:pPr>
            <w:r>
              <w:rPr>
                <w:rFonts w:ascii="Calibri" w:hAnsi="Calibri"/>
                <w:b/>
                <w:color w:val="F57C00"/>
                <w:sz w:val="19"/>
              </w:rPr>
              <w:t>Column</w:t>
            </w:r>
          </w:p>
        </w:tc>
        <w:tc>
          <w:tcPr>
            <w:tcW w:type="dxa" w:w="3288"/>
            <w:shd w:val="clear" w:color="auto" w:fill="1E203E"/>
            <w:tcMar>
              <w:top w:w="100" w:type="dxa"/>
              <w:bottom w:w="100" w:type="dxa"/>
              <w:left w:w="130" w:type="dxa"/>
              <w:right w:w="130" w:type="dxa"/>
            </w:tcMar>
          </w:tcPr>
          <w:p>
            <w:pPr>
              <w:spacing w:before="0" w:after="0"/>
            </w:pPr>
            <w:r>
              <w:rPr>
                <w:rFonts w:ascii="Calibri" w:hAnsi="Calibri"/>
                <w:b/>
                <w:color w:val="F57C00"/>
                <w:sz w:val="19"/>
              </w:rPr>
              <w:t>What it measures</w:t>
            </w:r>
          </w:p>
        </w:tc>
        <w:tc>
          <w:tcPr>
            <w:tcW w:type="dxa" w:w="4252"/>
            <w:shd w:val="clear" w:color="auto" w:fill="1E203E"/>
            <w:tcMar>
              <w:top w:w="100" w:type="dxa"/>
              <w:bottom w:w="100" w:type="dxa"/>
              <w:left w:w="130" w:type="dxa"/>
              <w:right w:w="130" w:type="dxa"/>
            </w:tcMar>
          </w:tcPr>
          <w:p>
            <w:pPr>
              <w:spacing w:before="0" w:after="0"/>
            </w:pPr>
            <w:r>
              <w:rPr>
                <w:rFonts w:ascii="Calibri" w:hAnsi="Calibri"/>
                <w:b/>
                <w:color w:val="F57C00"/>
                <w:sz w:val="19"/>
              </w:rPr>
              <w:t>Colour signal</w:t>
            </w:r>
          </w:p>
        </w:tc>
      </w:tr>
      <w:tr>
        <w:tc>
          <w:tcPr>
            <w:tcW w:type="dxa" w:w="1247"/>
            <w:shd w:val="clear" w:color="auto" w:fill="F5F5FA"/>
            <w:tcMar>
              <w:top w:w="90" w:type="dxa"/>
              <w:bottom w:w="90" w:type="dxa"/>
              <w:left w:w="130" w:type="dxa"/>
              <w:right w:w="130" w:type="dxa"/>
            </w:tcMar>
          </w:tcPr>
          <w:p>
            <w:pPr>
              <w:spacing w:before="0" w:after="0"/>
            </w:pPr>
            <w:r>
              <w:rPr>
                <w:rFonts w:ascii="Calibri" w:hAnsi="Calibri"/>
                <w:color w:val="222233"/>
                <w:sz w:val="19"/>
              </w:rPr>
              <w:t>P/E</w:t>
            </w:r>
          </w:p>
        </w:tc>
        <w:tc>
          <w:tcPr>
            <w:tcW w:type="dxa" w:w="3288"/>
            <w:shd w:val="clear" w:color="auto" w:fill="F5F5FA"/>
            <w:tcMar>
              <w:top w:w="90" w:type="dxa"/>
              <w:bottom w:w="90" w:type="dxa"/>
              <w:left w:w="130" w:type="dxa"/>
              <w:right w:w="130" w:type="dxa"/>
            </w:tcMar>
          </w:tcPr>
          <w:p>
            <w:pPr>
              <w:spacing w:before="0" w:after="0"/>
            </w:pPr>
            <w:r>
              <w:rPr>
                <w:rFonts w:ascii="Calibri" w:hAnsi="Calibri"/>
                <w:color w:val="222233"/>
                <w:sz w:val="19"/>
              </w:rPr>
              <w:t>Price relative to earnings — a valuation measure</w:t>
            </w:r>
          </w:p>
        </w:tc>
        <w:tc>
          <w:tcPr>
            <w:tcW w:type="dxa" w:w="4252"/>
            <w:shd w:val="clear" w:color="auto" w:fill="F5F5FA"/>
            <w:tcMar>
              <w:top w:w="90" w:type="dxa"/>
              <w:bottom w:w="90" w:type="dxa"/>
              <w:left w:w="130" w:type="dxa"/>
              <w:right w:w="130" w:type="dxa"/>
            </w:tcMar>
          </w:tcPr>
          <w:p>
            <w:pPr>
              <w:spacing w:before="0" w:after="0"/>
            </w:pPr>
            <w:r>
              <w:rPr>
                <w:rFonts w:ascii="Calibri" w:hAnsi="Calibri"/>
                <w:color w:val="222233"/>
                <w:sz w:val="19"/>
              </w:rPr>
              <w:t>Green &lt;15 (cheap); red &gt;40 (expensive)</w:t>
            </w:r>
          </w:p>
        </w:tc>
      </w:tr>
      <w:tr>
        <w:tc>
          <w:tcPr>
            <w:tcW w:type="dxa" w:w="1247"/>
            <w:shd w:val="clear" w:color="auto" w:fill="FFFFFF"/>
            <w:tcMar>
              <w:top w:w="90" w:type="dxa"/>
              <w:bottom w:w="90" w:type="dxa"/>
              <w:left w:w="130" w:type="dxa"/>
              <w:right w:w="130" w:type="dxa"/>
            </w:tcMar>
          </w:tcPr>
          <w:p>
            <w:pPr>
              <w:spacing w:before="0" w:after="0"/>
            </w:pPr>
            <w:r>
              <w:rPr>
                <w:rFonts w:ascii="Calibri" w:hAnsi="Calibri"/>
                <w:color w:val="222233"/>
                <w:sz w:val="19"/>
              </w:rPr>
              <w:t>ROE</w:t>
            </w:r>
          </w:p>
        </w:tc>
        <w:tc>
          <w:tcPr>
            <w:tcW w:type="dxa" w:w="3288"/>
            <w:shd w:val="clear" w:color="auto" w:fill="FFFFFF"/>
            <w:tcMar>
              <w:top w:w="90" w:type="dxa"/>
              <w:bottom w:w="90" w:type="dxa"/>
              <w:left w:w="130" w:type="dxa"/>
              <w:right w:w="130" w:type="dxa"/>
            </w:tcMar>
          </w:tcPr>
          <w:p>
            <w:pPr>
              <w:spacing w:before="0" w:after="0"/>
            </w:pPr>
            <w:r>
              <w:rPr>
                <w:rFonts w:ascii="Calibri" w:hAnsi="Calibri"/>
                <w:color w:val="222233"/>
                <w:sz w:val="19"/>
              </w:rPr>
              <w:t>Profit generated per pound of shareholder equity</w:t>
            </w:r>
          </w:p>
        </w:tc>
        <w:tc>
          <w:tcPr>
            <w:tcW w:type="dxa" w:w="4252"/>
            <w:shd w:val="clear" w:color="auto" w:fill="FFFFFF"/>
            <w:tcMar>
              <w:top w:w="90" w:type="dxa"/>
              <w:bottom w:w="90" w:type="dxa"/>
              <w:left w:w="130" w:type="dxa"/>
              <w:right w:w="130" w:type="dxa"/>
            </w:tcMar>
          </w:tcPr>
          <w:p>
            <w:pPr>
              <w:spacing w:before="0" w:after="0"/>
            </w:pPr>
            <w:r>
              <w:rPr>
                <w:rFonts w:ascii="Calibri" w:hAnsi="Calibri"/>
                <w:color w:val="222233"/>
                <w:sz w:val="19"/>
              </w:rPr>
              <w:t>Green if positive; red if negative</w:t>
            </w:r>
          </w:p>
        </w:tc>
      </w:tr>
      <w:tr>
        <w:tc>
          <w:tcPr>
            <w:tcW w:type="dxa" w:w="1247"/>
            <w:shd w:val="clear" w:color="auto" w:fill="F5F5FA"/>
            <w:tcMar>
              <w:top w:w="90" w:type="dxa"/>
              <w:bottom w:w="90" w:type="dxa"/>
              <w:left w:w="130" w:type="dxa"/>
              <w:right w:w="130" w:type="dxa"/>
            </w:tcMar>
          </w:tcPr>
          <w:p>
            <w:pPr>
              <w:spacing w:before="0" w:after="0"/>
            </w:pPr>
            <w:r>
              <w:rPr>
                <w:rFonts w:ascii="Calibri" w:hAnsi="Calibri"/>
                <w:color w:val="222233"/>
                <w:sz w:val="19"/>
              </w:rPr>
              <w:t>Rev Growth</w:t>
            </w:r>
          </w:p>
        </w:tc>
        <w:tc>
          <w:tcPr>
            <w:tcW w:type="dxa" w:w="3288"/>
            <w:shd w:val="clear" w:color="auto" w:fill="F5F5FA"/>
            <w:tcMar>
              <w:top w:w="90" w:type="dxa"/>
              <w:bottom w:w="90" w:type="dxa"/>
              <w:left w:w="130" w:type="dxa"/>
              <w:right w:w="130" w:type="dxa"/>
            </w:tcMar>
          </w:tcPr>
          <w:p>
            <w:pPr>
              <w:spacing w:before="0" w:after="0"/>
            </w:pPr>
            <w:r>
              <w:rPr>
                <w:rFonts w:ascii="Calibri" w:hAnsi="Calibri"/>
                <w:color w:val="222233"/>
                <w:sz w:val="19"/>
              </w:rPr>
              <w:t>Year-on-year revenue growth</w:t>
            </w:r>
          </w:p>
        </w:tc>
        <w:tc>
          <w:tcPr>
            <w:tcW w:type="dxa" w:w="4252"/>
            <w:shd w:val="clear" w:color="auto" w:fill="F5F5FA"/>
            <w:tcMar>
              <w:top w:w="90" w:type="dxa"/>
              <w:bottom w:w="90" w:type="dxa"/>
              <w:left w:w="130" w:type="dxa"/>
              <w:right w:w="130" w:type="dxa"/>
            </w:tcMar>
          </w:tcPr>
          <w:p>
            <w:pPr>
              <w:spacing w:before="0" w:after="0"/>
            </w:pPr>
            <w:r>
              <w:rPr>
                <w:rFonts w:ascii="Calibri" w:hAnsi="Calibri"/>
                <w:color w:val="222233"/>
                <w:sz w:val="19"/>
              </w:rPr>
              <w:t>Green if growing; red if shrinking</w:t>
            </w:r>
          </w:p>
        </w:tc>
      </w:tr>
      <w:tr>
        <w:tc>
          <w:tcPr>
            <w:tcW w:type="dxa" w:w="1247"/>
            <w:shd w:val="clear" w:color="auto" w:fill="FFFFFF"/>
            <w:tcMar>
              <w:top w:w="90" w:type="dxa"/>
              <w:bottom w:w="90" w:type="dxa"/>
              <w:left w:w="130" w:type="dxa"/>
              <w:right w:w="130" w:type="dxa"/>
            </w:tcMar>
          </w:tcPr>
          <w:p>
            <w:pPr>
              <w:spacing w:before="0" w:after="0"/>
            </w:pPr>
            <w:r>
              <w:rPr>
                <w:rFonts w:ascii="Calibri" w:hAnsi="Calibri"/>
                <w:color w:val="222233"/>
                <w:sz w:val="19"/>
              </w:rPr>
              <w:t>D/E</w:t>
            </w:r>
          </w:p>
        </w:tc>
        <w:tc>
          <w:tcPr>
            <w:tcW w:type="dxa" w:w="3288"/>
            <w:shd w:val="clear" w:color="auto" w:fill="FFFFFF"/>
            <w:tcMar>
              <w:top w:w="90" w:type="dxa"/>
              <w:bottom w:w="90" w:type="dxa"/>
              <w:left w:w="130" w:type="dxa"/>
              <w:right w:w="130" w:type="dxa"/>
            </w:tcMar>
          </w:tcPr>
          <w:p>
            <w:pPr>
              <w:spacing w:before="0" w:after="0"/>
            </w:pPr>
            <w:r>
              <w:rPr>
                <w:rFonts w:ascii="Calibri" w:hAnsi="Calibri"/>
                <w:color w:val="222233"/>
                <w:sz w:val="19"/>
              </w:rPr>
              <w:t>Debt-to-equity — how leveraged the balance sheet is</w:t>
            </w:r>
          </w:p>
        </w:tc>
        <w:tc>
          <w:tcPr>
            <w:tcW w:type="dxa" w:w="4252"/>
            <w:shd w:val="clear" w:color="auto" w:fill="FFFFFF"/>
            <w:tcMar>
              <w:top w:w="90" w:type="dxa"/>
              <w:bottom w:w="90" w:type="dxa"/>
              <w:left w:w="130" w:type="dxa"/>
              <w:right w:w="130" w:type="dxa"/>
            </w:tcMar>
          </w:tcPr>
          <w:p>
            <w:pPr>
              <w:spacing w:before="0" w:after="0"/>
            </w:pPr>
            <w:r>
              <w:rPr>
                <w:rFonts w:ascii="Calibri" w:hAnsi="Calibri"/>
                <w:color w:val="222233"/>
                <w:sz w:val="19"/>
              </w:rPr>
              <w:t>Red if above 2</w:t>
            </w:r>
          </w:p>
        </w:tc>
      </w:tr>
      <w:tr>
        <w:tc>
          <w:tcPr>
            <w:tcW w:type="dxa" w:w="1247"/>
            <w:shd w:val="clear" w:color="auto" w:fill="F5F5FA"/>
            <w:tcMar>
              <w:top w:w="90" w:type="dxa"/>
              <w:bottom w:w="90" w:type="dxa"/>
              <w:left w:w="130" w:type="dxa"/>
              <w:right w:w="130" w:type="dxa"/>
            </w:tcMar>
          </w:tcPr>
          <w:p>
            <w:pPr>
              <w:spacing w:before="0" w:after="0"/>
            </w:pPr>
            <w:r>
              <w:rPr>
                <w:rFonts w:ascii="Calibri" w:hAnsi="Calibri"/>
                <w:color w:val="222233"/>
                <w:sz w:val="19"/>
              </w:rPr>
              <w:t>Momentum</w:t>
            </w:r>
          </w:p>
        </w:tc>
        <w:tc>
          <w:tcPr>
            <w:tcW w:type="dxa" w:w="3288"/>
            <w:shd w:val="clear" w:color="auto" w:fill="F5F5FA"/>
            <w:tcMar>
              <w:top w:w="90" w:type="dxa"/>
              <w:bottom w:w="90" w:type="dxa"/>
              <w:left w:w="130" w:type="dxa"/>
              <w:right w:w="130" w:type="dxa"/>
            </w:tcMar>
          </w:tcPr>
          <w:p>
            <w:pPr>
              <w:spacing w:before="0" w:after="0"/>
            </w:pPr>
            <w:r>
              <w:rPr>
                <w:rFonts w:ascii="Calibri" w:hAnsi="Calibri"/>
                <w:color w:val="222233"/>
                <w:sz w:val="19"/>
              </w:rPr>
              <w:t>Percentile rank of 12-1M price return vs the screened universe</w:t>
            </w:r>
          </w:p>
        </w:tc>
        <w:tc>
          <w:tcPr>
            <w:tcW w:type="dxa" w:w="4252"/>
            <w:shd w:val="clear" w:color="auto" w:fill="F5F5FA"/>
            <w:tcMar>
              <w:top w:w="90" w:type="dxa"/>
              <w:bottom w:w="90" w:type="dxa"/>
              <w:left w:w="130" w:type="dxa"/>
              <w:right w:w="130" w:type="dxa"/>
            </w:tcMar>
          </w:tcPr>
          <w:p>
            <w:pPr>
              <w:spacing w:before="0" w:after="0"/>
            </w:pPr>
            <w:r>
              <w:rPr>
                <w:rFonts w:ascii="Calibri" w:hAnsi="Calibri"/>
                <w:color w:val="222233"/>
                <w:sz w:val="19"/>
              </w:rPr>
              <w:t>Green ≥7; amber ≥4; red &lt;4</w:t>
            </w:r>
          </w:p>
        </w:tc>
      </w:tr>
      <w:tr>
        <w:tc>
          <w:tcPr>
            <w:tcW w:type="dxa" w:w="1247"/>
            <w:shd w:val="clear" w:color="auto" w:fill="FFFFFF"/>
            <w:tcMar>
              <w:top w:w="90" w:type="dxa"/>
              <w:bottom w:w="90" w:type="dxa"/>
              <w:left w:w="130" w:type="dxa"/>
              <w:right w:w="130" w:type="dxa"/>
            </w:tcMar>
          </w:tcPr>
          <w:p>
            <w:pPr>
              <w:spacing w:before="0" w:after="0"/>
            </w:pPr>
            <w:r>
              <w:rPr>
                <w:rFonts w:ascii="Calibri" w:hAnsi="Calibri"/>
                <w:color w:val="222233"/>
                <w:sz w:val="19"/>
              </w:rPr>
              <w:t>Quality</w:t>
            </w:r>
          </w:p>
        </w:tc>
        <w:tc>
          <w:tcPr>
            <w:tcW w:type="dxa" w:w="3288"/>
            <w:shd w:val="clear" w:color="auto" w:fill="FFFFFF"/>
            <w:tcMar>
              <w:top w:w="90" w:type="dxa"/>
              <w:bottom w:w="90" w:type="dxa"/>
              <w:left w:w="130" w:type="dxa"/>
              <w:right w:w="130" w:type="dxa"/>
            </w:tcMar>
          </w:tcPr>
          <w:p>
            <w:pPr>
              <w:spacing w:before="0" w:after="0"/>
            </w:pPr>
            <w:r>
              <w:rPr>
                <w:rFonts w:ascii="Calibri" w:hAnsi="Calibri"/>
                <w:color w:val="222233"/>
                <w:sz w:val="19"/>
              </w:rPr>
              <w:t>Composite: returns on capital, margins, free cash flow</w:t>
            </w:r>
          </w:p>
        </w:tc>
        <w:tc>
          <w:tcPr>
            <w:tcW w:type="dxa" w:w="4252"/>
            <w:shd w:val="clear" w:color="auto" w:fill="FFFFFF"/>
            <w:tcMar>
              <w:top w:w="90" w:type="dxa"/>
              <w:bottom w:w="90" w:type="dxa"/>
              <w:left w:w="130" w:type="dxa"/>
              <w:right w:w="130" w:type="dxa"/>
            </w:tcMar>
          </w:tcPr>
          <w:p>
            <w:pPr>
              <w:spacing w:before="0" w:after="0"/>
            </w:pPr>
            <w:r>
              <w:rPr>
                <w:rFonts w:ascii="Calibri" w:hAnsi="Calibri"/>
                <w:color w:val="222233"/>
                <w:sz w:val="19"/>
              </w:rPr>
              <w:t>Green ≥7; amber ≥4; red &lt;4</w:t>
            </w:r>
          </w:p>
        </w:tc>
      </w:tr>
      <w:tr>
        <w:tc>
          <w:tcPr>
            <w:tcW w:type="dxa" w:w="1247"/>
            <w:shd w:val="clear" w:color="auto" w:fill="F5F5FA"/>
            <w:tcMar>
              <w:top w:w="90" w:type="dxa"/>
              <w:bottom w:w="90" w:type="dxa"/>
              <w:left w:w="130" w:type="dxa"/>
              <w:right w:w="130" w:type="dxa"/>
            </w:tcMar>
          </w:tcPr>
          <w:p>
            <w:pPr>
              <w:spacing w:before="0" w:after="0"/>
            </w:pPr>
            <w:r>
              <w:rPr>
                <w:rFonts w:ascii="Calibri" w:hAnsi="Calibri"/>
                <w:color w:val="222233"/>
                <w:sz w:val="19"/>
              </w:rPr>
              <w:t>Value</w:t>
            </w:r>
          </w:p>
        </w:tc>
        <w:tc>
          <w:tcPr>
            <w:tcW w:type="dxa" w:w="3288"/>
            <w:shd w:val="clear" w:color="auto" w:fill="F5F5FA"/>
            <w:tcMar>
              <w:top w:w="90" w:type="dxa"/>
              <w:bottom w:w="90" w:type="dxa"/>
              <w:left w:w="130" w:type="dxa"/>
              <w:right w:w="130" w:type="dxa"/>
            </w:tcMar>
          </w:tcPr>
          <w:p>
            <w:pPr>
              <w:spacing w:before="0" w:after="0"/>
            </w:pPr>
            <w:r>
              <w:rPr>
                <w:rFonts w:ascii="Calibri" w:hAnsi="Calibri"/>
                <w:color w:val="222233"/>
                <w:sz w:val="19"/>
              </w:rPr>
              <w:t>Piotroski F-Score (0–9) — are fundamentals improving?</w:t>
            </w:r>
          </w:p>
        </w:tc>
        <w:tc>
          <w:tcPr>
            <w:tcW w:type="dxa" w:w="4252"/>
            <w:shd w:val="clear" w:color="auto" w:fill="F5F5FA"/>
            <w:tcMar>
              <w:top w:w="90" w:type="dxa"/>
              <w:bottom w:w="90" w:type="dxa"/>
              <w:left w:w="130" w:type="dxa"/>
              <w:right w:w="130" w:type="dxa"/>
            </w:tcMar>
          </w:tcPr>
          <w:p>
            <w:pPr>
              <w:spacing w:before="0" w:after="0"/>
            </w:pPr>
            <w:r>
              <w:rPr>
                <w:rFonts w:ascii="Calibri" w:hAnsi="Calibri"/>
                <w:color w:val="222233"/>
                <w:sz w:val="19"/>
              </w:rPr>
              <w:t>Green ≥7; amber ≥4; red &lt;4</w:t>
            </w:r>
          </w:p>
        </w:tc>
      </w:tr>
      <w:tr>
        <w:tc>
          <w:tcPr>
            <w:tcW w:type="dxa" w:w="1247"/>
            <w:shd w:val="clear" w:color="auto" w:fill="FFFFFF"/>
            <w:tcMar>
              <w:top w:w="90" w:type="dxa"/>
              <w:bottom w:w="90" w:type="dxa"/>
              <w:left w:w="130" w:type="dxa"/>
              <w:right w:w="130" w:type="dxa"/>
            </w:tcMar>
          </w:tcPr>
          <w:p>
            <w:pPr>
              <w:spacing w:before="0" w:after="0"/>
            </w:pPr>
            <w:r>
              <w:rPr>
                <w:rFonts w:ascii="Calibri" w:hAnsi="Calibri"/>
                <w:color w:val="222233"/>
                <w:sz w:val="19"/>
              </w:rPr>
              <w:t>Risk</w:t>
            </w:r>
          </w:p>
        </w:tc>
        <w:tc>
          <w:tcPr>
            <w:tcW w:type="dxa" w:w="3288"/>
            <w:shd w:val="clear" w:color="auto" w:fill="FFFFFF"/>
            <w:tcMar>
              <w:top w:w="90" w:type="dxa"/>
              <w:bottom w:w="90" w:type="dxa"/>
              <w:left w:w="130" w:type="dxa"/>
              <w:right w:w="130" w:type="dxa"/>
            </w:tcMar>
          </w:tcPr>
          <w:p>
            <w:pPr>
              <w:spacing w:before="0" w:after="0"/>
            </w:pPr>
            <w:r>
              <w:rPr>
                <w:rFonts w:ascii="Calibri" w:hAnsi="Calibri"/>
                <w:color w:val="222233"/>
                <w:sz w:val="19"/>
              </w:rPr>
              <w:t>Blend of Altman Z-Score and price volatility (1–10)</w:t>
            </w:r>
          </w:p>
        </w:tc>
        <w:tc>
          <w:tcPr>
            <w:tcW w:type="dxa" w:w="4252"/>
            <w:shd w:val="clear" w:color="auto" w:fill="FFFFFF"/>
            <w:tcMar>
              <w:top w:w="90" w:type="dxa"/>
              <w:bottom w:w="90" w:type="dxa"/>
              <w:left w:w="130" w:type="dxa"/>
              <w:right w:w="130" w:type="dxa"/>
            </w:tcMar>
          </w:tcPr>
          <w:p>
            <w:pPr>
              <w:spacing w:before="0" w:after="0"/>
            </w:pPr>
            <w:r>
              <w:rPr>
                <w:rFonts w:ascii="Calibri" w:hAnsi="Calibri"/>
                <w:color w:val="222233"/>
                <w:sz w:val="19"/>
              </w:rPr>
              <w:t>Green ≤3; amber ≤6; red &gt;6</w:t>
            </w:r>
          </w:p>
        </w:tc>
      </w:tr>
    </w:tbl>
    <w:p>
      <w:pPr>
        <w:spacing w:after="80"/>
      </w:pPr>
    </w:p>
    <w:p>
      <w:pPr>
        <w:spacing w:before="40" w:after="120"/>
      </w:pPr>
      <w:r>
        <w:rPr>
          <w:rFonts w:ascii="Calibri" w:hAnsi="Calibri"/>
          <w:color w:val="222233"/>
          <w:sz w:val="20"/>
        </w:rPr>
        <w:t>Click any row to open the full Company Detail page for that stock.</w:t>
      </w:r>
    </w:p>
    <w:p>
      <w:r>
        <w:br w:type="page"/>
      </w:r>
    </w:p>
    <w:p>
      <w:pPr>
        <w:shd w:val="clear" w:color="auto" w:fill="12142E"/>
        <w:spacing w:before="480" w:after="160"/>
      </w:pPr>
      <w:r>
        <w:rPr>
          <w:rFonts w:ascii="Calibri" w:hAnsi="Calibri"/>
          <w:b/>
          <w:color w:val="F57C00"/>
          <w:sz w:val="30"/>
        </w:rPr>
        <w:t xml:space="preserve">     Company Detail</w:t>
      </w:r>
    </w:p>
    <w:p>
      <w:pPr>
        <w:spacing w:before="40" w:after="120"/>
      </w:pPr>
      <w:r>
        <w:rPr>
          <w:rFonts w:ascii="Calibri" w:hAnsi="Calibri"/>
          <w:color w:val="222233"/>
          <w:sz w:val="20"/>
        </w:rPr>
        <w:t>Clicking a company opens its detail page. The header shows the name, ticker, sector, FTSE index membership, market cap, enterprise value, and a short description where available. Six tabs let you investigate different aspects of the business. Use ← Back to Screener to return to your filtered list without losing your settings.</w:t>
      </w:r>
    </w:p>
    <w:p>
      <w:pPr>
        <w:pBdr>
          <w:bottom w:val="single" w:sz="6" w:space="1" w:color="F57C00"/>
        </w:pBdr>
        <w:spacing w:before="320" w:after="100"/>
      </w:pPr>
      <w:r>
        <w:rPr>
          <w:rFonts w:ascii="Calibri" w:hAnsi="Calibri"/>
          <w:b/>
          <w:color w:val="12142E"/>
          <w:sz w:val="24"/>
        </w:rPr>
        <w:t>Chart — What is the price doing?</w:t>
      </w:r>
    </w:p>
    <w:p>
      <w:pPr>
        <w:spacing w:before="40" w:after="120"/>
      </w:pPr>
      <w:r>
        <w:rPr>
          <w:rFonts w:ascii="Calibri" w:hAnsi="Calibri"/>
          <w:color w:val="222233"/>
          <w:sz w:val="20"/>
        </w:rPr>
        <w:t>The chart shows the daily closing price as an area chart. Use the time range buttons — 1M through to 5Y — to zoom in and out. A one-month view reveals recent momentum; a three-year view shows whether the current price is near historical highs or recovering from a trough.</w:t>
      </w:r>
    </w:p>
    <w:p>
      <w:pPr>
        <w:spacing w:before="40" w:after="120"/>
      </w:pPr>
      <w:r>
        <w:rPr>
          <w:rFonts w:ascii="Calibri" w:hAnsi="Calibri"/>
          <w:color w:val="222233"/>
          <w:sz w:val="20"/>
        </w:rPr>
        <w:t>Two moving average overlays are available:</w:t>
      </w:r>
    </w:p>
    <w:p>
      <w:pPr>
        <w:spacing w:before="20" w:after="40"/>
        <w:ind w:left="340"/>
      </w:pPr>
      <w:r>
        <w:rPr>
          <w:rFonts w:ascii="Calibri" w:hAnsi="Calibri"/>
          <w:color w:val="F57C00"/>
          <w:sz w:val="20"/>
        </w:rPr>
        <w:t xml:space="preserve">•  </w:t>
      </w:r>
      <w:r>
        <w:rPr>
          <w:rFonts w:ascii="Calibri" w:hAnsi="Calibri"/>
          <w:b/>
          <w:color w:val="12142E"/>
          <w:sz w:val="20"/>
        </w:rPr>
        <w:t xml:space="preserve">MA20 (20-day)  </w:t>
      </w:r>
      <w:r>
        <w:rPr>
          <w:rFonts w:ascii="Calibri" w:hAnsi="Calibri"/>
          <w:color w:val="222233"/>
          <w:sz w:val="20"/>
        </w:rPr>
        <w:t>a short-term trend line (amber dashed). When price is above MA20 and MA20 is rising, the stock is in a short-term uptrend.</w:t>
      </w:r>
    </w:p>
    <w:p>
      <w:pPr>
        <w:spacing w:before="20" w:after="40"/>
        <w:ind w:left="340"/>
      </w:pPr>
      <w:r>
        <w:rPr>
          <w:rFonts w:ascii="Calibri" w:hAnsi="Calibri"/>
          <w:color w:val="F57C00"/>
          <w:sz w:val="20"/>
        </w:rPr>
        <w:t xml:space="preserve">•  </w:t>
      </w:r>
      <w:r>
        <w:rPr>
          <w:rFonts w:ascii="Calibri" w:hAnsi="Calibri"/>
          <w:b/>
          <w:color w:val="12142E"/>
          <w:sz w:val="20"/>
        </w:rPr>
        <w:t xml:space="preserve">MA50 (50-day)  </w:t>
      </w:r>
      <w:r>
        <w:rPr>
          <w:rFonts w:ascii="Calibri" w:hAnsi="Calibri"/>
          <w:color w:val="222233"/>
          <w:sz w:val="20"/>
        </w:rPr>
        <w:t>a medium-term trend line (purple solid). Price above both moving averages with MA50 rising signals a positive trend. Price below both signals decline. A cross of the MA50 often marks a change in direction.</w:t>
      </w:r>
    </w:p>
    <w:p>
      <w:pPr>
        <w:shd w:val="clear" w:color="auto" w:fill="FFF3E0"/>
        <w:pBdr>
          <w:left w:val="single" w:sz="24" w:space="8" w:color="F57C00"/>
        </w:pBdr>
        <w:spacing w:before="120" w:after="160"/>
        <w:ind w:left="227"/>
      </w:pPr>
      <w:r>
        <w:rPr>
          <w:rFonts w:ascii="Calibri" w:hAnsi="Calibri"/>
          <w:b/>
          <w:color w:val="C06A00"/>
          <w:sz w:val="19"/>
        </w:rPr>
        <w:t xml:space="preserve">💡  Tip:  </w:t>
      </w:r>
      <w:r>
        <w:rPr>
          <w:rFonts w:ascii="Calibri" w:hAnsi="Calibri"/>
          <w:i/>
          <w:color w:val="222233"/>
          <w:sz w:val="19"/>
        </w:rPr>
        <w:t>Check the chart before acting on any screener result. A strong Quality score in a stock that has already run 50% in three months may not represent the best entry point.</w:t>
      </w:r>
    </w:p>
    <w:p>
      <w:pPr>
        <w:pBdr>
          <w:bottom w:val="single" w:sz="6" w:space="1" w:color="F57C00"/>
        </w:pBdr>
        <w:spacing w:before="320" w:after="100"/>
      </w:pPr>
      <w:r>
        <w:rPr>
          <w:rFonts w:ascii="Calibri" w:hAnsi="Calibri"/>
          <w:b/>
          <w:color w:val="12142E"/>
          <w:sz w:val="24"/>
        </w:rPr>
        <w:t>Overview — Is this a good business?</w:t>
      </w:r>
    </w:p>
    <w:p>
      <w:pPr>
        <w:spacing w:before="40" w:after="120"/>
      </w:pPr>
      <w:r>
        <w:rPr>
          <w:rFonts w:ascii="Calibri" w:hAnsi="Calibri"/>
          <w:color w:val="222233"/>
          <w:sz w:val="20"/>
        </w:rPr>
        <w:t>The Overview tab is your first stop for a business quality check. Twelve colour-coded metric cards give you the key numbers at a glance — revenue, profit, cash flow, valuation ratios, and capital efficiency — without having to open a company report.</w:t>
      </w:r>
    </w:p>
    <w:p>
      <w:pPr>
        <w:spacing w:before="40" w:after="120"/>
      </w:pPr>
      <w:r>
        <w:rPr>
          <w:rFonts w:ascii="Calibri" w:hAnsi="Calibri"/>
          <w:color w:val="222233"/>
          <w:sz w:val="20"/>
        </w:rPr>
        <w:t>The bar chart at the bottom shows revenue and net income side by side over recent years. Growing bars indicate an expanding business. A large gap between revenue and net income bars signals thin margins.</w:t>
      </w:r>
    </w:p>
    <w:p>
      <w:pPr>
        <w:pBdr>
          <w:bottom w:val="single" w:sz="6" w:space="1" w:color="F57C00"/>
        </w:pBdr>
        <w:spacing w:before="320" w:after="100"/>
      </w:pPr>
      <w:r>
        <w:rPr>
          <w:rFonts w:ascii="Calibri" w:hAnsi="Calibri"/>
          <w:b/>
          <w:color w:val="12142E"/>
          <w:sz w:val="24"/>
        </w:rPr>
        <w:t>Financials — How has the business performed over time?</w:t>
      </w:r>
    </w:p>
    <w:p>
      <w:pPr>
        <w:spacing w:before="40" w:after="120"/>
      </w:pPr>
      <w:r>
        <w:rPr>
          <w:rFonts w:ascii="Calibri" w:hAnsi="Calibri"/>
          <w:color w:val="222233"/>
          <w:sz w:val="20"/>
        </w:rPr>
        <w:t>This tab is for trend analysis. Three questions to focus on:</w:t>
      </w:r>
    </w:p>
    <w:p>
      <w:pPr>
        <w:spacing w:before="20" w:after="40"/>
        <w:ind w:left="340"/>
      </w:pPr>
      <w:r>
        <w:rPr>
          <w:rFonts w:ascii="Calibri" w:hAnsi="Calibri"/>
          <w:color w:val="F57C00"/>
          <w:sz w:val="20"/>
        </w:rPr>
        <w:t xml:space="preserve">•  </w:t>
      </w:r>
      <w:r>
        <w:rPr>
          <w:rFonts w:ascii="Calibri" w:hAnsi="Calibri"/>
          <w:color w:val="222233"/>
          <w:sz w:val="20"/>
        </w:rPr>
        <w:t>Is revenue growing consistently, or is it lumpy and stagnant?</w:t>
      </w:r>
    </w:p>
    <w:p>
      <w:pPr>
        <w:spacing w:before="20" w:after="40"/>
        <w:ind w:left="340"/>
      </w:pPr>
      <w:r>
        <w:rPr>
          <w:rFonts w:ascii="Calibri" w:hAnsi="Calibri"/>
          <w:color w:val="F57C00"/>
          <w:sz w:val="20"/>
        </w:rPr>
        <w:t xml:space="preserve">•  </w:t>
      </w:r>
      <w:r>
        <w:rPr>
          <w:rFonts w:ascii="Calibri" w:hAnsi="Calibri"/>
          <w:color w:val="222233"/>
          <w:sz w:val="20"/>
        </w:rPr>
        <w:t>Is free cash flow (FCF) positive and growing? FCF is the cash the business actually generates after funding its operations and capital investment. Unlike reported profit, it cannot easily be manufactured through accounting choices — it is the closest thing to a company’s real earning power.</w:t>
      </w:r>
    </w:p>
    <w:p>
      <w:pPr>
        <w:spacing w:before="20" w:after="40"/>
        <w:ind w:left="340"/>
      </w:pPr>
      <w:r>
        <w:rPr>
          <w:rFonts w:ascii="Calibri" w:hAnsi="Calibri"/>
          <w:color w:val="F57C00"/>
          <w:sz w:val="20"/>
        </w:rPr>
        <w:t xml:space="preserve">•  </w:t>
      </w:r>
      <w:r>
        <w:rPr>
          <w:rFonts w:ascii="Calibri" w:hAnsi="Calibri"/>
          <w:color w:val="222233"/>
          <w:sz w:val="20"/>
        </w:rPr>
        <w:t>Does the quarterly revenue chart show acceleration or deceleration? This tells you whether the most recent trading is better or worse than the annual average suggests.</w:t>
      </w:r>
    </w:p>
    <w:p>
      <w:pPr>
        <w:spacing w:before="40" w:after="120"/>
      </w:pPr>
      <w:r>
        <w:rPr>
          <w:rFonts w:ascii="Calibri" w:hAnsi="Calibri"/>
          <w:color w:val="222233"/>
          <w:sz w:val="20"/>
        </w:rPr>
        <w:t>The five-year income statement table at the bottom is a condensed profit and loss account. Negative numbers appear in red. Watch for years where net income diverges sharply from EBITDA — this can signal high interest costs, large depreciation charges, or one-off items distorting the picture.</w:t>
      </w:r>
    </w:p>
    <w:p>
      <w:pPr>
        <w:pBdr>
          <w:bottom w:val="single" w:sz="6" w:space="1" w:color="F57C00"/>
        </w:pBdr>
        <w:spacing w:before="320" w:after="100"/>
      </w:pPr>
      <w:r>
        <w:rPr>
          <w:rFonts w:ascii="Calibri" w:hAnsi="Calibri"/>
          <w:b/>
          <w:color w:val="12142E"/>
          <w:sz w:val="24"/>
        </w:rPr>
        <w:t>Valuation — What are you paying?</w:t>
      </w:r>
    </w:p>
    <w:p>
      <w:pPr>
        <w:spacing w:before="40" w:after="120"/>
      </w:pPr>
      <w:r>
        <w:rPr>
          <w:rFonts w:ascii="Calibri" w:hAnsi="Calibri"/>
          <w:color w:val="222233"/>
          <w:sz w:val="20"/>
        </w:rPr>
        <w:t>The Valuation tab answers whether the stock is cheap or expensive relative to its fundamentals. The eight valuation cards cover the ratios most commonly used by professional investors:</w:t>
      </w:r>
    </w:p>
    <w:p>
      <w:pPr>
        <w:spacing w:before="20" w:after="40"/>
        <w:ind w:left="340"/>
      </w:pPr>
      <w:r>
        <w:rPr>
          <w:rFonts w:ascii="Calibri" w:hAnsi="Calibri"/>
          <w:color w:val="F57C00"/>
          <w:sz w:val="20"/>
        </w:rPr>
        <w:t xml:space="preserve">•  </w:t>
      </w:r>
      <w:r>
        <w:rPr>
          <w:rFonts w:ascii="Calibri" w:hAnsi="Calibri"/>
          <w:b/>
          <w:color w:val="12142E"/>
          <w:sz w:val="20"/>
        </w:rPr>
        <w:t xml:space="preserve">P/E  </w:t>
      </w:r>
      <w:r>
        <w:rPr>
          <w:rFonts w:ascii="Calibri" w:hAnsi="Calibri"/>
          <w:color w:val="222233"/>
          <w:sz w:val="20"/>
        </w:rPr>
        <w:t>the most familiar valuation measure. A low P/E can mean cheapness or a troubled business; a high P/E implies the market expects strong future growth.</w:t>
      </w:r>
    </w:p>
    <w:p>
      <w:pPr>
        <w:spacing w:before="20" w:after="40"/>
        <w:ind w:left="340"/>
      </w:pPr>
      <w:r>
        <w:rPr>
          <w:rFonts w:ascii="Calibri" w:hAnsi="Calibri"/>
          <w:color w:val="F57C00"/>
          <w:sz w:val="20"/>
        </w:rPr>
        <w:t xml:space="preserve">•  </w:t>
      </w:r>
      <w:r>
        <w:rPr>
          <w:rFonts w:ascii="Calibri" w:hAnsi="Calibri"/>
          <w:b/>
          <w:color w:val="12142E"/>
          <w:sz w:val="20"/>
        </w:rPr>
        <w:t xml:space="preserve">P/B  </w:t>
      </w:r>
      <w:r>
        <w:rPr>
          <w:rFonts w:ascii="Calibri" w:hAnsi="Calibri"/>
          <w:color w:val="222233"/>
          <w:sz w:val="20"/>
        </w:rPr>
        <w:t>compares market price to the accounting value of assets. Most useful for banks, insurers, and capital-intensive businesses.</w:t>
      </w:r>
    </w:p>
    <w:p>
      <w:pPr>
        <w:spacing w:before="20" w:after="40"/>
        <w:ind w:left="340"/>
      </w:pPr>
      <w:r>
        <w:rPr>
          <w:rFonts w:ascii="Calibri" w:hAnsi="Calibri"/>
          <w:color w:val="F57C00"/>
          <w:sz w:val="20"/>
        </w:rPr>
        <w:t xml:space="preserve">•  </w:t>
      </w:r>
      <w:r>
        <w:rPr>
          <w:rFonts w:ascii="Calibri" w:hAnsi="Calibri"/>
          <w:b/>
          <w:color w:val="12142E"/>
          <w:sz w:val="20"/>
        </w:rPr>
        <w:t xml:space="preserve">P/S  </w:t>
      </w:r>
      <w:r>
        <w:rPr>
          <w:rFonts w:ascii="Calibri" w:hAnsi="Calibri"/>
          <w:color w:val="222233"/>
          <w:sz w:val="20"/>
        </w:rPr>
        <w:t>useful when a company has little or no profit, as it values the revenue stream directly.</w:t>
      </w:r>
    </w:p>
    <w:p>
      <w:pPr>
        <w:spacing w:before="20" w:after="40"/>
        <w:ind w:left="340"/>
      </w:pPr>
      <w:r>
        <w:rPr>
          <w:rFonts w:ascii="Calibri" w:hAnsi="Calibri"/>
          <w:color w:val="F57C00"/>
          <w:sz w:val="20"/>
        </w:rPr>
        <w:t xml:space="preserve">•  </w:t>
      </w:r>
      <w:r>
        <w:rPr>
          <w:rFonts w:ascii="Calibri" w:hAnsi="Calibri"/>
          <w:b/>
          <w:color w:val="12142E"/>
          <w:sz w:val="20"/>
        </w:rPr>
        <w:t xml:space="preserve">EV/EBITDA  </w:t>
      </w:r>
      <w:r>
        <w:rPr>
          <w:rFonts w:ascii="Calibri" w:hAnsi="Calibri"/>
          <w:color w:val="222233"/>
          <w:sz w:val="20"/>
        </w:rPr>
        <w:t>enterprise value relative to operating earnings, independent of capital structure. One of the most widely used ratios for comparing companies with different levels of debt.</w:t>
      </w:r>
    </w:p>
    <w:p>
      <w:pPr>
        <w:spacing w:before="20" w:after="40"/>
        <w:ind w:left="340"/>
      </w:pPr>
      <w:r>
        <w:rPr>
          <w:rFonts w:ascii="Calibri" w:hAnsi="Calibri"/>
          <w:color w:val="F57C00"/>
          <w:sz w:val="20"/>
        </w:rPr>
        <w:t xml:space="preserve">•  </w:t>
      </w:r>
      <w:r>
        <w:rPr>
          <w:rFonts w:ascii="Calibri" w:hAnsi="Calibri"/>
          <w:b/>
          <w:color w:val="12142E"/>
          <w:sz w:val="20"/>
        </w:rPr>
        <w:t xml:space="preserve">ROE / ROIC / ROCE  </w:t>
      </w:r>
      <w:r>
        <w:rPr>
          <w:rFonts w:ascii="Calibri" w:hAnsi="Calibri"/>
          <w:color w:val="222233"/>
          <w:sz w:val="20"/>
        </w:rPr>
        <w:t>the most reliable indicators of competitive advantage. A company sustaining high, stable returns on capital over many years typically has a genuine edge over its competitors.</w:t>
      </w:r>
    </w:p>
    <w:p>
      <w:pPr>
        <w:spacing w:before="40" w:after="120"/>
      </w:pPr>
      <w:r>
        <w:rPr>
          <w:rFonts w:ascii="Calibri" w:hAnsi="Calibri"/>
          <w:color w:val="222233"/>
          <w:sz w:val="20"/>
        </w:rPr>
        <w:t>The Return on Capital chart plots ROE, ROIC, and ROA together over time. Consistently high and stable returns are a strong quality signal. Erratic or structurally declining returns suggest competitive pressure or management issues.</w:t>
      </w:r>
    </w:p>
    <w:p>
      <w:pPr>
        <w:pBdr>
          <w:bottom w:val="single" w:sz="6" w:space="1" w:color="F57C00"/>
        </w:pBdr>
        <w:spacing w:before="320" w:after="100"/>
      </w:pPr>
      <w:r>
        <w:rPr>
          <w:rFonts w:ascii="Calibri" w:hAnsi="Calibri"/>
          <w:b/>
          <w:color w:val="12142E"/>
          <w:sz w:val="24"/>
        </w:rPr>
        <w:t>Health — Could this company get into trouble?</w:t>
      </w:r>
    </w:p>
    <w:p>
      <w:pPr>
        <w:spacing w:before="40" w:after="120"/>
      </w:pPr>
      <w:r>
        <w:rPr>
          <w:rFonts w:ascii="Calibri" w:hAnsi="Calibri"/>
          <w:color w:val="222233"/>
          <w:sz w:val="20"/>
        </w:rPr>
        <w:t>This tab focuses on financial risk. The large Risk Score at the top is the app’s composite fragility rating:</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3138"/>
        <w:gridCol w:w="3138"/>
        <w:gridCol w:w="3138"/>
      </w:tblGrid>
      <w:tr>
        <w:tc>
          <w:tcPr>
            <w:tcW w:type="dxa" w:w="1361"/>
            <w:shd w:val="clear" w:color="auto" w:fill="1E203E"/>
            <w:tcMar>
              <w:top w:w="100" w:type="dxa"/>
              <w:bottom w:w="100" w:type="dxa"/>
              <w:left w:w="130" w:type="dxa"/>
              <w:right w:w="130" w:type="dxa"/>
            </w:tcMar>
          </w:tcPr>
          <w:p>
            <w:pPr>
              <w:spacing w:before="0" w:after="0"/>
            </w:pPr>
            <w:r>
              <w:rPr>
                <w:rFonts w:ascii="Calibri" w:hAnsi="Calibri"/>
                <w:b/>
                <w:color w:val="F57C00"/>
                <w:sz w:val="19"/>
              </w:rPr>
              <w:t>Score</w:t>
            </w:r>
          </w:p>
        </w:tc>
        <w:tc>
          <w:tcPr>
            <w:tcW w:type="dxa" w:w="3402"/>
            <w:shd w:val="clear" w:color="auto" w:fill="1E203E"/>
            <w:tcMar>
              <w:top w:w="100" w:type="dxa"/>
              <w:bottom w:w="100" w:type="dxa"/>
              <w:left w:w="130" w:type="dxa"/>
              <w:right w:w="130" w:type="dxa"/>
            </w:tcMar>
          </w:tcPr>
          <w:p>
            <w:pPr>
              <w:spacing w:before="0" w:after="0"/>
            </w:pPr>
            <w:r>
              <w:rPr>
                <w:rFonts w:ascii="Calibri" w:hAnsi="Calibri"/>
                <w:b/>
                <w:color w:val="F57C00"/>
                <w:sz w:val="19"/>
              </w:rPr>
              <w:t>What it means</w:t>
            </w:r>
          </w:p>
        </w:tc>
        <w:tc>
          <w:tcPr>
            <w:tcW w:type="dxa" w:w="4025"/>
            <w:shd w:val="clear" w:color="auto" w:fill="1E203E"/>
            <w:tcMar>
              <w:top w:w="100" w:type="dxa"/>
              <w:bottom w:w="100" w:type="dxa"/>
              <w:left w:w="130" w:type="dxa"/>
              <w:right w:w="130" w:type="dxa"/>
            </w:tcMar>
          </w:tcPr>
          <w:p>
            <w:pPr>
              <w:spacing w:before="0" w:after="0"/>
            </w:pPr>
            <w:r>
              <w:rPr>
                <w:rFonts w:ascii="Calibri" w:hAnsi="Calibri"/>
                <w:b/>
                <w:color w:val="F57C00"/>
                <w:sz w:val="19"/>
              </w:rPr>
              <w:t>Suggested action</w:t>
            </w:r>
          </w:p>
        </w:tc>
      </w:tr>
      <w:tr>
        <w:tc>
          <w:tcPr>
            <w:tcW w:type="dxa" w:w="1361"/>
            <w:shd w:val="clear" w:color="auto" w:fill="F5F5FA"/>
            <w:tcMar>
              <w:top w:w="90" w:type="dxa"/>
              <w:bottom w:w="90" w:type="dxa"/>
              <w:left w:w="130" w:type="dxa"/>
              <w:right w:w="130" w:type="dxa"/>
            </w:tcMar>
          </w:tcPr>
          <w:p>
            <w:pPr>
              <w:spacing w:before="0" w:after="0"/>
            </w:pPr>
            <w:r>
              <w:rPr>
                <w:rFonts w:ascii="Calibri" w:hAnsi="Calibri"/>
                <w:color w:val="222233"/>
                <w:sz w:val="19"/>
              </w:rPr>
              <w:t>1–3  (green)</w:t>
            </w:r>
          </w:p>
        </w:tc>
        <w:tc>
          <w:tcPr>
            <w:tcW w:type="dxa" w:w="3402"/>
            <w:shd w:val="clear" w:color="auto" w:fill="F5F5FA"/>
            <w:tcMar>
              <w:top w:w="90" w:type="dxa"/>
              <w:bottom w:w="90" w:type="dxa"/>
              <w:left w:w="130" w:type="dxa"/>
              <w:right w:w="130" w:type="dxa"/>
            </w:tcMar>
          </w:tcPr>
          <w:p>
            <w:pPr>
              <w:spacing w:before="0" w:after="0"/>
            </w:pPr>
            <w:r>
              <w:rPr>
                <w:rFonts w:ascii="Calibri" w:hAnsi="Calibri"/>
                <w:color w:val="222233"/>
                <w:sz w:val="19"/>
              </w:rPr>
              <w:t>Solid balance sheet, low volatility</w:t>
            </w:r>
          </w:p>
        </w:tc>
        <w:tc>
          <w:tcPr>
            <w:tcW w:type="dxa" w:w="4025"/>
            <w:shd w:val="clear" w:color="auto" w:fill="F5F5FA"/>
            <w:tcMar>
              <w:top w:w="90" w:type="dxa"/>
              <w:bottom w:w="90" w:type="dxa"/>
              <w:left w:w="130" w:type="dxa"/>
              <w:right w:w="130" w:type="dxa"/>
            </w:tcMar>
          </w:tcPr>
          <w:p>
            <w:pPr>
              <w:spacing w:before="0" w:after="0"/>
            </w:pPr>
            <w:r>
              <w:rPr>
                <w:rFonts w:ascii="Calibri" w:hAnsi="Calibri"/>
                <w:color w:val="222233"/>
                <w:sz w:val="19"/>
              </w:rPr>
              <w:t>Proceed with normal analysis</w:t>
            </w:r>
          </w:p>
        </w:tc>
      </w:tr>
      <w:tr>
        <w:tc>
          <w:tcPr>
            <w:tcW w:type="dxa" w:w="1361"/>
            <w:shd w:val="clear" w:color="auto" w:fill="FFFFFF"/>
            <w:tcMar>
              <w:top w:w="90" w:type="dxa"/>
              <w:bottom w:w="90" w:type="dxa"/>
              <w:left w:w="130" w:type="dxa"/>
              <w:right w:w="130" w:type="dxa"/>
            </w:tcMar>
          </w:tcPr>
          <w:p>
            <w:pPr>
              <w:spacing w:before="0" w:after="0"/>
            </w:pPr>
            <w:r>
              <w:rPr>
                <w:rFonts w:ascii="Calibri" w:hAnsi="Calibri"/>
                <w:color w:val="222233"/>
                <w:sz w:val="19"/>
              </w:rPr>
              <w:t>4–6  (amber)</w:t>
            </w:r>
          </w:p>
        </w:tc>
        <w:tc>
          <w:tcPr>
            <w:tcW w:type="dxa" w:w="3402"/>
            <w:shd w:val="clear" w:color="auto" w:fill="FFFFFF"/>
            <w:tcMar>
              <w:top w:w="90" w:type="dxa"/>
              <w:bottom w:w="90" w:type="dxa"/>
              <w:left w:w="130" w:type="dxa"/>
              <w:right w:w="130" w:type="dxa"/>
            </w:tcMar>
          </w:tcPr>
          <w:p>
            <w:pPr>
              <w:spacing w:before="0" w:after="0"/>
            </w:pPr>
            <w:r>
              <w:rPr>
                <w:rFonts w:ascii="Calibri" w:hAnsi="Calibri"/>
                <w:color w:val="222233"/>
                <w:sz w:val="19"/>
              </w:rPr>
              <w:t>Some leverage or volatility worth noting</w:t>
            </w:r>
          </w:p>
        </w:tc>
        <w:tc>
          <w:tcPr>
            <w:tcW w:type="dxa" w:w="4025"/>
            <w:shd w:val="clear" w:color="auto" w:fill="FFFFFF"/>
            <w:tcMar>
              <w:top w:w="90" w:type="dxa"/>
              <w:bottom w:w="90" w:type="dxa"/>
              <w:left w:w="130" w:type="dxa"/>
              <w:right w:w="130" w:type="dxa"/>
            </w:tcMar>
          </w:tcPr>
          <w:p>
            <w:pPr>
              <w:spacing w:before="0" w:after="0"/>
            </w:pPr>
            <w:r>
              <w:rPr>
                <w:rFonts w:ascii="Calibri" w:hAnsi="Calibri"/>
                <w:color w:val="222233"/>
                <w:sz w:val="19"/>
              </w:rPr>
              <w:t>Review the balance sheet metrics in detail</w:t>
            </w:r>
          </w:p>
        </w:tc>
      </w:tr>
      <w:tr>
        <w:tc>
          <w:tcPr>
            <w:tcW w:type="dxa" w:w="1361"/>
            <w:shd w:val="clear" w:color="auto" w:fill="F5F5FA"/>
            <w:tcMar>
              <w:top w:w="90" w:type="dxa"/>
              <w:bottom w:w="90" w:type="dxa"/>
              <w:left w:w="130" w:type="dxa"/>
              <w:right w:w="130" w:type="dxa"/>
            </w:tcMar>
          </w:tcPr>
          <w:p>
            <w:pPr>
              <w:spacing w:before="0" w:after="0"/>
            </w:pPr>
            <w:r>
              <w:rPr>
                <w:rFonts w:ascii="Calibri" w:hAnsi="Calibri"/>
                <w:color w:val="222233"/>
                <w:sz w:val="19"/>
              </w:rPr>
              <w:t>7–10 (red)</w:t>
            </w:r>
          </w:p>
        </w:tc>
        <w:tc>
          <w:tcPr>
            <w:tcW w:type="dxa" w:w="3402"/>
            <w:shd w:val="clear" w:color="auto" w:fill="F5F5FA"/>
            <w:tcMar>
              <w:top w:w="90" w:type="dxa"/>
              <w:bottom w:w="90" w:type="dxa"/>
              <w:left w:w="130" w:type="dxa"/>
              <w:right w:w="130" w:type="dxa"/>
            </w:tcMar>
          </w:tcPr>
          <w:p>
            <w:pPr>
              <w:spacing w:before="0" w:after="0"/>
            </w:pPr>
            <w:r>
              <w:rPr>
                <w:rFonts w:ascii="Calibri" w:hAnsi="Calibri"/>
                <w:color w:val="222233"/>
                <w:sz w:val="19"/>
              </w:rPr>
              <w:t>Elevated risk: high debt or distress signals present</w:t>
            </w:r>
          </w:p>
        </w:tc>
        <w:tc>
          <w:tcPr>
            <w:tcW w:type="dxa" w:w="4025"/>
            <w:shd w:val="clear" w:color="auto" w:fill="F5F5FA"/>
            <w:tcMar>
              <w:top w:w="90" w:type="dxa"/>
              <w:bottom w:w="90" w:type="dxa"/>
              <w:left w:w="130" w:type="dxa"/>
              <w:right w:w="130" w:type="dxa"/>
            </w:tcMar>
          </w:tcPr>
          <w:p>
            <w:pPr>
              <w:spacing w:before="0" w:after="0"/>
            </w:pPr>
            <w:r>
              <w:rPr>
                <w:rFonts w:ascii="Calibri" w:hAnsi="Calibri"/>
                <w:color w:val="222233"/>
                <w:sz w:val="19"/>
              </w:rPr>
              <w:t>Check Altman Z-Score and Debt/Equity trend before proceeding</w:t>
            </w:r>
          </w:p>
        </w:tc>
      </w:tr>
    </w:tbl>
    <w:p>
      <w:pPr>
        <w:spacing w:after="80"/>
      </w:pPr>
    </w:p>
    <w:p>
      <w:pPr>
        <w:spacing w:before="40" w:after="120"/>
      </w:pPr>
      <w:r>
        <w:rPr>
          <w:rFonts w:ascii="Calibri" w:hAnsi="Calibri"/>
          <w:color w:val="222233"/>
          <w:sz w:val="20"/>
        </w:rPr>
        <w:t>The Altman Z-Score is a well-tested academic model that predicts financial distress from five accounting ratios. A score above 3.0 is healthy. Below 1.8 is the distress zone — not necessarily heading for insolvency, but worth close scrutiny. The 1.8–3.0 range is the grey zone.</w:t>
      </w:r>
    </w:p>
    <w:p>
      <w:pPr>
        <w:spacing w:before="40" w:after="120"/>
      </w:pPr>
      <w:r>
        <w:rPr>
          <w:rFonts w:ascii="Calibri" w:hAnsi="Calibri"/>
          <w:color w:val="222233"/>
          <w:sz w:val="20"/>
        </w:rPr>
        <w:t>The Debt/Equity chart over time tells you whether leverage is rising or falling. Steadily increasing debt not matched by rising profitability is a warning sign. The Current Ratio chart shows whether the company can meet its short-term obligations — a ratio persistently below 1.0 is concerning.</w:t>
      </w:r>
    </w:p>
    <w:p>
      <w:pPr>
        <w:shd w:val="clear" w:color="auto" w:fill="EEF2FF"/>
        <w:pBdr>
          <w:left w:val="single" w:sz="24" w:space="8" w:color="5560AA"/>
        </w:pBdr>
        <w:spacing w:before="120" w:after="160"/>
        <w:ind w:left="227"/>
      </w:pPr>
      <w:r>
        <w:rPr>
          <w:rFonts w:ascii="Calibri" w:hAnsi="Calibri"/>
          <w:b/>
          <w:color w:val="334499"/>
          <w:sz w:val="19"/>
        </w:rPr>
        <w:t xml:space="preserve">ℹ️  Note:  </w:t>
      </w:r>
      <w:r>
        <w:rPr>
          <w:rFonts w:ascii="Calibri" w:hAnsi="Calibri"/>
          <w:i/>
          <w:color w:val="222233"/>
          <w:sz w:val="19"/>
        </w:rPr>
        <w:t>A high Risk Score does not automatically make a stock uninvestable. Capital-heavy sectors like utilities and real estate routinely carry more debt than industrials. Always read risk in its sector context.</w:t>
      </w:r>
    </w:p>
    <w:p>
      <w:pPr>
        <w:pBdr>
          <w:bottom w:val="single" w:sz="6" w:space="1" w:color="F57C00"/>
        </w:pBdr>
        <w:spacing w:before="320" w:after="100"/>
      </w:pPr>
      <w:r>
        <w:rPr>
          <w:rFonts w:ascii="Calibri" w:hAnsi="Calibri"/>
          <w:b/>
          <w:color w:val="12142E"/>
          <w:sz w:val="24"/>
        </w:rPr>
        <w:t>Growth — Is the business expanding?</w:t>
      </w:r>
    </w:p>
    <w:p>
      <w:pPr>
        <w:spacing w:before="40" w:after="120"/>
      </w:pPr>
      <w:r>
        <w:rPr>
          <w:rFonts w:ascii="Calibri" w:hAnsi="Calibri"/>
          <w:color w:val="222233"/>
          <w:sz w:val="20"/>
        </w:rPr>
        <w:t>The Growth tab shows how quickly the company is growing its revenues, earnings, and cash flows. All figures are colour-coded: green for growth, red for contraction.</w:t>
      </w:r>
    </w:p>
    <w:p>
      <w:pPr>
        <w:spacing w:before="40" w:after="120"/>
      </w:pPr>
      <w:r>
        <w:rPr>
          <w:rFonts w:ascii="Calibri" w:hAnsi="Calibri"/>
          <w:color w:val="222233"/>
          <w:sz w:val="20"/>
        </w:rPr>
        <w:t>The 10-year CAGR (Compound Annual Growth Rate) figures are particularly valuable — they smooth out any one exceptional or disappointing year and show the underlying pace of the business across a full economic cycle. A company compounding revenue at 10% per year for a decade is a fundamentally different proposition to one growing at 2%.</w:t>
      </w:r>
    </w:p>
    <w:p>
      <w:pPr>
        <w:spacing w:before="40" w:after="120"/>
      </w:pPr>
      <w:r>
        <w:rPr>
          <w:rFonts w:ascii="Calibri" w:hAnsi="Calibri"/>
          <w:color w:val="222233"/>
          <w:sz w:val="20"/>
        </w:rPr>
        <w:t>The Profit Margins chart at the bottom plots gross, operating, and net margins together over time. Stable or widening margins suggest pricing power. Margins compressing while revenue grows can indicate rising input costs or intensifying competition — a business becoming less profitable even as it gets bigger.</w:t>
      </w:r>
    </w:p>
    <w:p>
      <w:r>
        <w:br w:type="page"/>
      </w:r>
    </w:p>
    <w:p>
      <w:pPr>
        <w:shd w:val="clear" w:color="auto" w:fill="12142E"/>
        <w:spacing w:before="480" w:after="160"/>
      </w:pPr>
      <w:r>
        <w:rPr>
          <w:rFonts w:ascii="Calibri" w:hAnsi="Calibri"/>
          <w:b/>
          <w:color w:val="F57C00"/>
          <w:sz w:val="30"/>
        </w:rPr>
        <w:t xml:space="preserve">     Sector Analysis</w:t>
      </w:r>
    </w:p>
    <w:p>
      <w:pPr>
        <w:spacing w:before="40" w:after="120"/>
      </w:pPr>
      <w:r>
        <w:rPr>
          <w:rFonts w:ascii="Calibri" w:hAnsi="Calibri"/>
          <w:color w:val="222233"/>
          <w:sz w:val="20"/>
        </w:rPr>
        <w:t>The Sector Analysis section helps you understand which parts of the UK market are in favour and which are not. It is built on the observation that at any point in the economic cycle, certain sectors tend to lead and others tend to lag. Getting sector positioning broadly right can matter as much as picking the right individual stocks.</w:t>
      </w:r>
    </w:p>
    <w:p>
      <w:pPr>
        <w:pBdr>
          <w:bottom w:val="single" w:sz="6" w:space="1" w:color="F57C00"/>
        </w:pBdr>
        <w:spacing w:before="320" w:after="100"/>
      </w:pPr>
      <w:r>
        <w:rPr>
          <w:rFonts w:ascii="Calibri" w:hAnsi="Calibri"/>
          <w:b/>
          <w:color w:val="12142E"/>
          <w:sz w:val="24"/>
        </w:rPr>
        <w:t>Sector Rotation — The Heatmap</w:t>
      </w:r>
    </w:p>
    <w:p>
      <w:pPr>
        <w:spacing w:before="40" w:after="120"/>
      </w:pPr>
      <w:r>
        <w:rPr>
          <w:rFonts w:ascii="Calibri" w:hAnsi="Calibri"/>
          <w:color w:val="222233"/>
          <w:sz w:val="20"/>
        </w:rPr>
        <w:t>The heatmap shows all eleven tracked ICB sectors ranked by their relative strength (RS) score — a measure of each sector’s recent price performance compared to the FTSE All-Share. A score above 1.0 means outperforming; below 1.0 means lagging. The top four sectors are highlighted green; the bottom four red.</w:t>
      </w:r>
    </w:p>
    <w:p>
      <w:pPr>
        <w:spacing w:before="40" w:after="120"/>
      </w:pPr>
      <w:r>
        <w:rPr>
          <w:rFonts w:ascii="Calibri" w:hAnsi="Calibri"/>
          <w:color w:val="222233"/>
          <w:sz w:val="20"/>
        </w:rPr>
        <w:t>Use this to tilt your screener results towards sectors with momentum behind them. A fundamentally attractive stock in a sector showing a red signal faces a headwind that a similar stock in a green sector does not.</w:t>
      </w:r>
    </w:p>
    <w:p>
      <w:pPr>
        <w:pBdr>
          <w:bottom w:val="single" w:sz="6" w:space="1" w:color="F57C00"/>
        </w:pBdr>
        <w:spacing w:before="320" w:after="100"/>
      </w:pPr>
      <w:r>
        <w:rPr>
          <w:rFonts w:ascii="Calibri" w:hAnsi="Calibri"/>
          <w:b/>
          <w:color w:val="12142E"/>
          <w:sz w:val="24"/>
        </w:rPr>
        <w:t>The Business Cycle Wheel</w:t>
      </w:r>
    </w:p>
    <w:p>
      <w:pPr>
        <w:spacing w:before="40" w:after="120"/>
      </w:pPr>
      <w:r>
        <w:rPr>
          <w:rFonts w:ascii="Calibri" w:hAnsi="Calibri"/>
          <w:color w:val="222233"/>
          <w:sz w:val="20"/>
        </w:rPr>
        <w:t>Markets tend to rotate through a repeating four-phase cycle, and sector leadership shifts predictably as conditions change. The cycle wheel shows the app’s current reading:</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3138"/>
        <w:gridCol w:w="3138"/>
        <w:gridCol w:w="3138"/>
      </w:tblGrid>
      <w:tr>
        <w:tc>
          <w:tcPr>
            <w:tcW w:type="dxa" w:w="1417"/>
            <w:shd w:val="clear" w:color="auto" w:fill="1E203E"/>
            <w:tcMar>
              <w:top w:w="100" w:type="dxa"/>
              <w:bottom w:w="100" w:type="dxa"/>
              <w:left w:w="130" w:type="dxa"/>
              <w:right w:w="130" w:type="dxa"/>
            </w:tcMar>
          </w:tcPr>
          <w:p>
            <w:pPr>
              <w:spacing w:before="0" w:after="0"/>
            </w:pPr>
            <w:r>
              <w:rPr>
                <w:rFonts w:ascii="Calibri" w:hAnsi="Calibri"/>
                <w:b/>
                <w:color w:val="F57C00"/>
                <w:sz w:val="19"/>
              </w:rPr>
              <w:t>Phase</w:t>
            </w:r>
          </w:p>
        </w:tc>
        <w:tc>
          <w:tcPr>
            <w:tcW w:type="dxa" w:w="3402"/>
            <w:shd w:val="clear" w:color="auto" w:fill="1E203E"/>
            <w:tcMar>
              <w:top w:w="100" w:type="dxa"/>
              <w:bottom w:w="100" w:type="dxa"/>
              <w:left w:w="130" w:type="dxa"/>
              <w:right w:w="130" w:type="dxa"/>
            </w:tcMar>
          </w:tcPr>
          <w:p>
            <w:pPr>
              <w:spacing w:before="0" w:after="0"/>
            </w:pPr>
            <w:r>
              <w:rPr>
                <w:rFonts w:ascii="Calibri" w:hAnsi="Calibri"/>
                <w:b/>
                <w:color w:val="F57C00"/>
                <w:sz w:val="19"/>
              </w:rPr>
              <w:t>Economic backdrop</w:t>
            </w:r>
          </w:p>
        </w:tc>
        <w:tc>
          <w:tcPr>
            <w:tcW w:type="dxa" w:w="3969"/>
            <w:shd w:val="clear" w:color="auto" w:fill="1E203E"/>
            <w:tcMar>
              <w:top w:w="100" w:type="dxa"/>
              <w:bottom w:w="100" w:type="dxa"/>
              <w:left w:w="130" w:type="dxa"/>
              <w:right w:w="130" w:type="dxa"/>
            </w:tcMar>
          </w:tcPr>
          <w:p>
            <w:pPr>
              <w:spacing w:before="0" w:after="0"/>
            </w:pPr>
            <w:r>
              <w:rPr>
                <w:rFonts w:ascii="Calibri" w:hAnsi="Calibri"/>
                <w:b/>
                <w:color w:val="F57C00"/>
                <w:sz w:val="19"/>
              </w:rPr>
              <w:t>Sectors that historically lead</w:t>
            </w:r>
          </w:p>
        </w:tc>
      </w:tr>
      <w:tr>
        <w:tc>
          <w:tcPr>
            <w:tcW w:type="dxa" w:w="1417"/>
            <w:shd w:val="clear" w:color="auto" w:fill="F5F5FA"/>
            <w:tcMar>
              <w:top w:w="90" w:type="dxa"/>
              <w:bottom w:w="90" w:type="dxa"/>
              <w:left w:w="130" w:type="dxa"/>
              <w:right w:w="130" w:type="dxa"/>
            </w:tcMar>
          </w:tcPr>
          <w:p>
            <w:pPr>
              <w:spacing w:before="0" w:after="0"/>
            </w:pPr>
            <w:r>
              <w:rPr>
                <w:rFonts w:ascii="Calibri" w:hAnsi="Calibri"/>
                <w:color w:val="222233"/>
                <w:sz w:val="19"/>
              </w:rPr>
              <w:t>Recovery</w:t>
            </w:r>
          </w:p>
        </w:tc>
        <w:tc>
          <w:tcPr>
            <w:tcW w:type="dxa" w:w="3402"/>
            <w:shd w:val="clear" w:color="auto" w:fill="F5F5FA"/>
            <w:tcMar>
              <w:top w:w="90" w:type="dxa"/>
              <w:bottom w:w="90" w:type="dxa"/>
              <w:left w:w="130" w:type="dxa"/>
              <w:right w:w="130" w:type="dxa"/>
            </w:tcMar>
          </w:tcPr>
          <w:p>
            <w:pPr>
              <w:spacing w:before="0" w:after="0"/>
            </w:pPr>
            <w:r>
              <w:rPr>
                <w:rFonts w:ascii="Calibri" w:hAnsi="Calibri"/>
                <w:color w:val="222233"/>
                <w:sz w:val="19"/>
              </w:rPr>
              <w:t>Economy turning up from a trough; credit loosening; consumer confidence returning</w:t>
            </w:r>
          </w:p>
        </w:tc>
        <w:tc>
          <w:tcPr>
            <w:tcW w:type="dxa" w:w="3969"/>
            <w:shd w:val="clear" w:color="auto" w:fill="F5F5FA"/>
            <w:tcMar>
              <w:top w:w="90" w:type="dxa"/>
              <w:bottom w:w="90" w:type="dxa"/>
              <w:left w:w="130" w:type="dxa"/>
              <w:right w:w="130" w:type="dxa"/>
            </w:tcMar>
          </w:tcPr>
          <w:p>
            <w:pPr>
              <w:spacing w:before="0" w:after="0"/>
            </w:pPr>
            <w:r>
              <w:rPr>
                <w:rFonts w:ascii="Calibri" w:hAnsi="Calibri"/>
                <w:color w:val="222233"/>
                <w:sz w:val="19"/>
              </w:rPr>
              <w:t>Consumer Discretionary, Financials, Real Estate</w:t>
            </w:r>
          </w:p>
        </w:tc>
      </w:tr>
      <w:tr>
        <w:tc>
          <w:tcPr>
            <w:tcW w:type="dxa" w:w="1417"/>
            <w:shd w:val="clear" w:color="auto" w:fill="FFFFFF"/>
            <w:tcMar>
              <w:top w:w="90" w:type="dxa"/>
              <w:bottom w:w="90" w:type="dxa"/>
              <w:left w:w="130" w:type="dxa"/>
              <w:right w:w="130" w:type="dxa"/>
            </w:tcMar>
          </w:tcPr>
          <w:p>
            <w:pPr>
              <w:spacing w:before="0" w:after="0"/>
            </w:pPr>
            <w:r>
              <w:rPr>
                <w:rFonts w:ascii="Calibri" w:hAnsi="Calibri"/>
                <w:color w:val="222233"/>
                <w:sz w:val="19"/>
              </w:rPr>
              <w:t>Expansion</w:t>
            </w:r>
          </w:p>
        </w:tc>
        <w:tc>
          <w:tcPr>
            <w:tcW w:type="dxa" w:w="3402"/>
            <w:shd w:val="clear" w:color="auto" w:fill="FFFFFF"/>
            <w:tcMar>
              <w:top w:w="90" w:type="dxa"/>
              <w:bottom w:w="90" w:type="dxa"/>
              <w:left w:w="130" w:type="dxa"/>
              <w:right w:w="130" w:type="dxa"/>
            </w:tcMar>
          </w:tcPr>
          <w:p>
            <w:pPr>
              <w:spacing w:before="0" w:after="0"/>
            </w:pPr>
            <w:r>
              <w:rPr>
                <w:rFonts w:ascii="Calibri" w:hAnsi="Calibri"/>
                <w:color w:val="222233"/>
                <w:sz w:val="19"/>
              </w:rPr>
              <w:t>Broad growth; corporate earnings rising; investment spending picking up</w:t>
            </w:r>
          </w:p>
        </w:tc>
        <w:tc>
          <w:tcPr>
            <w:tcW w:type="dxa" w:w="3969"/>
            <w:shd w:val="clear" w:color="auto" w:fill="FFFFFF"/>
            <w:tcMar>
              <w:top w:w="90" w:type="dxa"/>
              <w:bottom w:w="90" w:type="dxa"/>
              <w:left w:w="130" w:type="dxa"/>
              <w:right w:w="130" w:type="dxa"/>
            </w:tcMar>
          </w:tcPr>
          <w:p>
            <w:pPr>
              <w:spacing w:before="0" w:after="0"/>
            </w:pPr>
            <w:r>
              <w:rPr>
                <w:rFonts w:ascii="Calibri" w:hAnsi="Calibri"/>
                <w:color w:val="222233"/>
                <w:sz w:val="19"/>
              </w:rPr>
              <w:t>Industrials, Technology, Materials</w:t>
            </w:r>
          </w:p>
        </w:tc>
      </w:tr>
      <w:tr>
        <w:tc>
          <w:tcPr>
            <w:tcW w:type="dxa" w:w="1417"/>
            <w:shd w:val="clear" w:color="auto" w:fill="F5F5FA"/>
            <w:tcMar>
              <w:top w:w="90" w:type="dxa"/>
              <w:bottom w:w="90" w:type="dxa"/>
              <w:left w:w="130" w:type="dxa"/>
              <w:right w:w="130" w:type="dxa"/>
            </w:tcMar>
          </w:tcPr>
          <w:p>
            <w:pPr>
              <w:spacing w:before="0" w:after="0"/>
            </w:pPr>
            <w:r>
              <w:rPr>
                <w:rFonts w:ascii="Calibri" w:hAnsi="Calibri"/>
                <w:color w:val="222233"/>
                <w:sz w:val="19"/>
              </w:rPr>
              <w:t>Slowdown</w:t>
            </w:r>
          </w:p>
        </w:tc>
        <w:tc>
          <w:tcPr>
            <w:tcW w:type="dxa" w:w="3402"/>
            <w:shd w:val="clear" w:color="auto" w:fill="F5F5FA"/>
            <w:tcMar>
              <w:top w:w="90" w:type="dxa"/>
              <w:bottom w:w="90" w:type="dxa"/>
              <w:left w:w="130" w:type="dxa"/>
              <w:right w:w="130" w:type="dxa"/>
            </w:tcMar>
          </w:tcPr>
          <w:p>
            <w:pPr>
              <w:spacing w:before="0" w:after="0"/>
            </w:pPr>
            <w:r>
              <w:rPr>
                <w:rFonts w:ascii="Calibri" w:hAnsi="Calibri"/>
                <w:color w:val="222233"/>
                <w:sz w:val="19"/>
              </w:rPr>
              <w:t>Growth peaking; inflation often elevated; central banks tightening</w:t>
            </w:r>
          </w:p>
        </w:tc>
        <w:tc>
          <w:tcPr>
            <w:tcW w:type="dxa" w:w="3969"/>
            <w:shd w:val="clear" w:color="auto" w:fill="F5F5FA"/>
            <w:tcMar>
              <w:top w:w="90" w:type="dxa"/>
              <w:bottom w:w="90" w:type="dxa"/>
              <w:left w:w="130" w:type="dxa"/>
              <w:right w:w="130" w:type="dxa"/>
            </w:tcMar>
          </w:tcPr>
          <w:p>
            <w:pPr>
              <w:spacing w:before="0" w:after="0"/>
            </w:pPr>
            <w:r>
              <w:rPr>
                <w:rFonts w:ascii="Calibri" w:hAnsi="Calibri"/>
                <w:color w:val="222233"/>
                <w:sz w:val="19"/>
              </w:rPr>
              <w:t>Energy, Health Care, Consumer Staples</w:t>
            </w:r>
          </w:p>
        </w:tc>
      </w:tr>
      <w:tr>
        <w:tc>
          <w:tcPr>
            <w:tcW w:type="dxa" w:w="1417"/>
            <w:shd w:val="clear" w:color="auto" w:fill="FFFFFF"/>
            <w:tcMar>
              <w:top w:w="90" w:type="dxa"/>
              <w:bottom w:w="90" w:type="dxa"/>
              <w:left w:w="130" w:type="dxa"/>
              <w:right w:w="130" w:type="dxa"/>
            </w:tcMar>
          </w:tcPr>
          <w:p>
            <w:pPr>
              <w:spacing w:before="0" w:after="0"/>
            </w:pPr>
            <w:r>
              <w:rPr>
                <w:rFonts w:ascii="Calibri" w:hAnsi="Calibri"/>
                <w:color w:val="222233"/>
                <w:sz w:val="19"/>
              </w:rPr>
              <w:t>Contraction</w:t>
            </w:r>
          </w:p>
        </w:tc>
        <w:tc>
          <w:tcPr>
            <w:tcW w:type="dxa" w:w="3402"/>
            <w:shd w:val="clear" w:color="auto" w:fill="FFFFFF"/>
            <w:tcMar>
              <w:top w:w="90" w:type="dxa"/>
              <w:bottom w:w="90" w:type="dxa"/>
              <w:left w:w="130" w:type="dxa"/>
              <w:right w:w="130" w:type="dxa"/>
            </w:tcMar>
          </w:tcPr>
          <w:p>
            <w:pPr>
              <w:spacing w:before="0" w:after="0"/>
            </w:pPr>
            <w:r>
              <w:rPr>
                <w:rFonts w:ascii="Calibri" w:hAnsi="Calibri"/>
                <w:color w:val="222233"/>
                <w:sz w:val="19"/>
              </w:rPr>
              <w:t>Recession or near-recession; earnings falling; risk aversion high</w:t>
            </w:r>
          </w:p>
        </w:tc>
        <w:tc>
          <w:tcPr>
            <w:tcW w:type="dxa" w:w="3969"/>
            <w:shd w:val="clear" w:color="auto" w:fill="FFFFFF"/>
            <w:tcMar>
              <w:top w:w="90" w:type="dxa"/>
              <w:bottom w:w="90" w:type="dxa"/>
              <w:left w:w="130" w:type="dxa"/>
              <w:right w:w="130" w:type="dxa"/>
            </w:tcMar>
          </w:tcPr>
          <w:p>
            <w:pPr>
              <w:spacing w:before="0" w:after="0"/>
            </w:pPr>
            <w:r>
              <w:rPr>
                <w:rFonts w:ascii="Calibri" w:hAnsi="Calibri"/>
                <w:color w:val="222233"/>
                <w:sz w:val="19"/>
              </w:rPr>
              <w:t>Utilities, Health Care, Consumer Staples</w:t>
            </w:r>
          </w:p>
        </w:tc>
      </w:tr>
    </w:tbl>
    <w:p>
      <w:pPr>
        <w:spacing w:after="80"/>
      </w:pPr>
    </w:p>
    <w:p>
      <w:pPr>
        <w:spacing w:before="40" w:after="120"/>
      </w:pPr>
      <w:r>
        <w:rPr>
          <w:rFonts w:ascii="Calibri" w:hAnsi="Calibri"/>
          <w:color w:val="222233"/>
          <w:sz w:val="20"/>
        </w:rPr>
        <w:t>Below the wheel, two signals inform the current phase: one based on the Fear &amp; Greed index and one based on which sectors are leading by RS score. When both agree, the reading is more reliable. When they diverge, treat the current phase with more caution.</w:t>
      </w:r>
    </w:p>
    <w:p>
      <w:pPr>
        <w:spacing w:before="40" w:after="120"/>
      </w:pPr>
      <w:r>
        <w:rPr>
          <w:rFonts w:ascii="Calibri" w:hAnsi="Calibri"/>
          <w:color w:val="222233"/>
          <w:sz w:val="20"/>
        </w:rPr>
        <w:t>The Favour and Avoid lists show which sectors are recommended for the current phase. Use these to inform the Sector filter in the screener. Clicking Accept on a suggested phase manually sets the cycle model and logs the change in the Signal Log.</w:t>
      </w:r>
    </w:p>
    <w:p>
      <w:pPr>
        <w:shd w:val="clear" w:color="auto" w:fill="FFF3E0"/>
        <w:pBdr>
          <w:left w:val="single" w:sz="24" w:space="8" w:color="F57C00"/>
        </w:pBdr>
        <w:spacing w:before="120" w:after="160"/>
        <w:ind w:left="227"/>
      </w:pPr>
      <w:r>
        <w:rPr>
          <w:rFonts w:ascii="Calibri" w:hAnsi="Calibri"/>
          <w:b/>
          <w:color w:val="C06A00"/>
          <w:sz w:val="19"/>
        </w:rPr>
        <w:t xml:space="preserve">💡  Tip:  </w:t>
      </w:r>
      <w:r>
        <w:rPr>
          <w:rFonts w:ascii="Calibri" w:hAnsi="Calibri"/>
          <w:i/>
          <w:color w:val="222233"/>
          <w:sz w:val="19"/>
        </w:rPr>
        <w:t>The cycle model is a guide, not a rule. Always cross-check with actual RS scores and breadth data before making sector allocation decisions.</w:t>
      </w:r>
    </w:p>
    <w:p>
      <w:pPr>
        <w:pBdr>
          <w:bottom w:val="single" w:sz="6" w:space="1" w:color="F57C00"/>
        </w:pBdr>
        <w:spacing w:before="320" w:after="100"/>
      </w:pPr>
      <w:r>
        <w:rPr>
          <w:rFonts w:ascii="Calibri" w:hAnsi="Calibri"/>
          <w:b/>
          <w:color w:val="12142E"/>
          <w:sz w:val="24"/>
        </w:rPr>
        <w:t>The RS Ranking Table</w:t>
      </w:r>
    </w:p>
    <w:p>
      <w:pPr>
        <w:spacing w:before="40" w:after="120"/>
      </w:pPr>
      <w:r>
        <w:rPr>
          <w:rFonts w:ascii="Calibri" w:hAnsi="Calibri"/>
          <w:color w:val="222233"/>
          <w:sz w:val="20"/>
        </w:rPr>
        <w:t>The table beneath the wheel gives you the full sector picture in one view:</w:t>
      </w:r>
    </w:p>
    <w:p>
      <w:pPr>
        <w:spacing w:before="20" w:after="40"/>
        <w:ind w:left="340"/>
      </w:pPr>
      <w:r>
        <w:rPr>
          <w:rFonts w:ascii="Calibri" w:hAnsi="Calibri"/>
          <w:color w:val="F57C00"/>
          <w:sz w:val="20"/>
        </w:rPr>
        <w:t xml:space="preserve">•  </w:t>
      </w:r>
      <w:r>
        <w:rPr>
          <w:rFonts w:ascii="Calibri" w:hAnsi="Calibri"/>
          <w:b/>
          <w:color w:val="12142E"/>
          <w:sz w:val="20"/>
        </w:rPr>
        <w:t xml:space="preserve">RS Score  </w:t>
      </w:r>
      <w:r>
        <w:rPr>
          <w:rFonts w:ascii="Calibri" w:hAnsi="Calibri"/>
          <w:color w:val="222233"/>
          <w:sz w:val="20"/>
        </w:rPr>
        <w:t>the sector’s price strength relative to the market. Above 1.0 = outperforming.</w:t>
      </w:r>
    </w:p>
    <w:p>
      <w:pPr>
        <w:spacing w:before="20" w:after="40"/>
        <w:ind w:left="340"/>
      </w:pPr>
      <w:r>
        <w:rPr>
          <w:rFonts w:ascii="Calibri" w:hAnsi="Calibri"/>
          <w:color w:val="F57C00"/>
          <w:sz w:val="20"/>
        </w:rPr>
        <w:t xml:space="preserve">•  </w:t>
      </w:r>
      <w:r>
        <w:rPr>
          <w:rFonts w:ascii="Calibri" w:hAnsi="Calibri"/>
          <w:b/>
          <w:color w:val="12142E"/>
          <w:sz w:val="20"/>
        </w:rPr>
        <w:t xml:space="preserve">Trend  </w:t>
      </w:r>
      <w:r>
        <w:rPr>
          <w:rFonts w:ascii="Calibri" w:hAnsi="Calibri"/>
          <w:color w:val="222233"/>
          <w:sz w:val="20"/>
        </w:rPr>
        <w:t>whether the RS score is rising (↑) or falling (↓). A sector with RS above 1.0 but a falling trend may be about to lose its leadership position.</w:t>
      </w:r>
    </w:p>
    <w:p>
      <w:pPr>
        <w:spacing w:before="20" w:after="40"/>
        <w:ind w:left="340"/>
      </w:pPr>
      <w:r>
        <w:rPr>
          <w:rFonts w:ascii="Calibri" w:hAnsi="Calibri"/>
          <w:color w:val="F57C00"/>
          <w:sz w:val="20"/>
        </w:rPr>
        <w:t xml:space="preserve">•  </w:t>
      </w:r>
      <w:r>
        <w:rPr>
          <w:rFonts w:ascii="Calibri" w:hAnsi="Calibri"/>
          <w:b/>
          <w:color w:val="12142E"/>
          <w:sz w:val="20"/>
        </w:rPr>
        <w:t xml:space="preserve">Breadth  </w:t>
      </w:r>
      <w:r>
        <w:rPr>
          <w:rFonts w:ascii="Calibri" w:hAnsi="Calibri"/>
          <w:color w:val="222233"/>
          <w:sz w:val="20"/>
        </w:rPr>
        <w:t>the percentage of stocks within the sector trading above their 50-day moving average. High breadth means many stocks are participating in the sector move, not just one or two large caps skewing the index.</w:t>
      </w:r>
    </w:p>
    <w:p>
      <w:pPr>
        <w:spacing w:before="20" w:after="40"/>
        <w:ind w:left="340"/>
      </w:pPr>
      <w:r>
        <w:rPr>
          <w:rFonts w:ascii="Calibri" w:hAnsi="Calibri"/>
          <w:color w:val="F57C00"/>
          <w:sz w:val="20"/>
        </w:rPr>
        <w:t xml:space="preserve">•  </w:t>
      </w:r>
      <w:r>
        <w:rPr>
          <w:rFonts w:ascii="Calibri" w:hAnsi="Calibri"/>
          <w:b/>
          <w:color w:val="12142E"/>
          <w:sz w:val="20"/>
        </w:rPr>
        <w:t xml:space="preserve">Signal  </w:t>
      </w:r>
      <w:r>
        <w:rPr>
          <w:rFonts w:ascii="Calibri" w:hAnsi="Calibri"/>
          <w:color w:val="222233"/>
          <w:sz w:val="20"/>
        </w:rPr>
        <w:t>BUY when RS is above 1.05 and rising; AVOID when RS is below 0.95 and falling; NEUTRAL otherwise.</w:t>
      </w:r>
    </w:p>
    <w:p>
      <w:pPr>
        <w:pBdr>
          <w:bottom w:val="single" w:sz="6" w:space="1" w:color="F57C00"/>
        </w:pBdr>
        <w:spacing w:before="320" w:after="100"/>
      </w:pPr>
      <w:r>
        <w:rPr>
          <w:rFonts w:ascii="Calibri" w:hAnsi="Calibri"/>
          <w:b/>
          <w:color w:val="12142E"/>
          <w:sz w:val="24"/>
        </w:rPr>
        <w:t>Market Breadth</w:t>
      </w:r>
    </w:p>
    <w:p>
      <w:pPr>
        <w:spacing w:before="40" w:after="120"/>
      </w:pPr>
      <w:r>
        <w:rPr>
          <w:rFonts w:ascii="Calibri" w:hAnsi="Calibri"/>
          <w:color w:val="222233"/>
          <w:sz w:val="20"/>
        </w:rPr>
        <w:t>Breadth measures the health of a market advance. An index rising while most individual stocks within it are falling is a warning sign — the move is being driven by a handful of large names and is therefore fragile. The three summary cards give you a quick read on participation:</w:t>
      </w:r>
    </w:p>
    <w:p>
      <w:pPr>
        <w:spacing w:before="20" w:after="40"/>
        <w:ind w:left="340"/>
      </w:pPr>
      <w:r>
        <w:rPr>
          <w:rFonts w:ascii="Calibri" w:hAnsi="Calibri"/>
          <w:color w:val="F57C00"/>
          <w:sz w:val="20"/>
        </w:rPr>
        <w:t xml:space="preserve">•  </w:t>
      </w:r>
      <w:r>
        <w:rPr>
          <w:rFonts w:ascii="Calibri" w:hAnsi="Calibri"/>
          <w:b/>
          <w:color w:val="12142E"/>
          <w:sz w:val="20"/>
        </w:rPr>
        <w:t xml:space="preserve">% Above 50-Day MA  </w:t>
      </w:r>
      <w:r>
        <w:rPr>
          <w:rFonts w:ascii="Calibri" w:hAnsi="Calibri"/>
          <w:color w:val="222233"/>
          <w:sz w:val="20"/>
        </w:rPr>
        <w:t>the percentage of a FTSE 100 basket trading above its 50-day moving average. Above 60% is broadly healthy (bullish breadth); below 40% means most stocks are in downtrends (bearish breadth). This is the single most important number on this page.</w:t>
      </w:r>
    </w:p>
    <w:p>
      <w:pPr>
        <w:spacing w:before="20" w:after="40"/>
        <w:ind w:left="340"/>
      </w:pPr>
      <w:r>
        <w:rPr>
          <w:rFonts w:ascii="Calibri" w:hAnsi="Calibri"/>
          <w:color w:val="F57C00"/>
          <w:sz w:val="20"/>
        </w:rPr>
        <w:t xml:space="preserve">•  </w:t>
      </w:r>
      <w:r>
        <w:rPr>
          <w:rFonts w:ascii="Calibri" w:hAnsi="Calibri"/>
          <w:b/>
          <w:color w:val="12142E"/>
          <w:sz w:val="20"/>
        </w:rPr>
        <w:t xml:space="preserve">52-Week Highs / Lows  </w:t>
      </w:r>
      <w:r>
        <w:rPr>
          <w:rFonts w:ascii="Calibri" w:hAnsi="Calibri"/>
          <w:color w:val="222233"/>
          <w:sz w:val="20"/>
        </w:rPr>
        <w:t>how many basket stocks are at a new 52-week high vs a new 52-week low. More new highs than lows is consistent with a healthy market; the reverse signals deterioration under the surface.</w:t>
      </w:r>
    </w:p>
    <w:p>
      <w:pPr>
        <w:spacing w:before="20" w:after="40"/>
        <w:ind w:left="340"/>
      </w:pPr>
      <w:r>
        <w:rPr>
          <w:rFonts w:ascii="Calibri" w:hAnsi="Calibri"/>
          <w:color w:val="F57C00"/>
          <w:sz w:val="20"/>
        </w:rPr>
        <w:t xml:space="preserve">•  </w:t>
      </w:r>
      <w:r>
        <w:rPr>
          <w:rFonts w:ascii="Calibri" w:hAnsi="Calibri"/>
          <w:b/>
          <w:color w:val="12142E"/>
          <w:sz w:val="20"/>
        </w:rPr>
        <w:t xml:space="preserve">Advance / Decline  </w:t>
      </w:r>
      <w:r>
        <w:rPr>
          <w:rFonts w:ascii="Calibri" w:hAnsi="Calibri"/>
          <w:color w:val="222233"/>
          <w:sz w:val="20"/>
        </w:rPr>
        <w:t>today’s count of advancing and declining stocks. In a genuinely strong market, advancers should comfortably outnumber decliners.</w:t>
      </w:r>
    </w:p>
    <w:p>
      <w:pPr>
        <w:spacing w:before="40" w:after="120"/>
      </w:pPr>
      <w:r>
        <w:rPr>
          <w:rFonts w:ascii="Calibri" w:hAnsi="Calibri"/>
          <w:color w:val="222233"/>
          <w:sz w:val="20"/>
        </w:rPr>
        <w:t>The Cumulative A/D Line chart shows the running total of the advance/decline balance over the past 20 trading days. A rising line confirms broad participation. A falling line while the index is rising — called a breadth divergence — is one of the most reliable early warnings that a rally is losing internal support.</w:t>
      </w:r>
    </w:p>
    <w:p>
      <w:r>
        <w:br w:type="page"/>
      </w:r>
    </w:p>
    <w:p>
      <w:pPr>
        <w:shd w:val="clear" w:color="auto" w:fill="12142E"/>
        <w:spacing w:before="480" w:after="160"/>
      </w:pPr>
      <w:r>
        <w:rPr>
          <w:rFonts w:ascii="Calibri" w:hAnsi="Calibri"/>
          <w:b/>
          <w:color w:val="F57C00"/>
          <w:sz w:val="30"/>
        </w:rPr>
        <w:t xml:space="preserve">     Markets</w:t>
      </w:r>
    </w:p>
    <w:p>
      <w:pPr>
        <w:pBdr>
          <w:bottom w:val="single" w:sz="6" w:space="1" w:color="F57C00"/>
        </w:pBdr>
        <w:spacing w:before="320" w:after="100"/>
      </w:pPr>
      <w:r>
        <w:rPr>
          <w:rFonts w:ascii="Calibri" w:hAnsi="Calibri"/>
          <w:b/>
          <w:color w:val="12142E"/>
          <w:sz w:val="24"/>
        </w:rPr>
        <w:t>UK Fear &amp; Greed Index</w:t>
      </w:r>
    </w:p>
    <w:p>
      <w:pPr>
        <w:spacing w:before="40" w:after="120"/>
      </w:pPr>
      <w:r>
        <w:rPr>
          <w:rFonts w:ascii="Calibri" w:hAnsi="Calibri"/>
          <w:color w:val="222233"/>
          <w:sz w:val="20"/>
        </w:rPr>
        <w:t>The Fear &amp; Greed index measures the emotional temperature of the UK stock market. It produces a score from 0 to 100: low scores mean investors are fearful, cautious, and hiding in safe assets; high scores mean they are confident, buying, and taking risk. The score is the equal-weighted average of six underlying signals.</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2354"/>
        <w:gridCol w:w="2354"/>
        <w:gridCol w:w="2354"/>
        <w:gridCol w:w="2354"/>
      </w:tblGrid>
      <w:tr>
        <w:tc>
          <w:tcPr>
            <w:tcW w:type="dxa" w:w="1701"/>
            <w:shd w:val="clear" w:color="auto" w:fill="1E203E"/>
            <w:tcMar>
              <w:top w:w="100" w:type="dxa"/>
              <w:bottom w:w="100" w:type="dxa"/>
              <w:left w:w="130" w:type="dxa"/>
              <w:right w:w="130" w:type="dxa"/>
            </w:tcMar>
          </w:tcPr>
          <w:p>
            <w:pPr>
              <w:spacing w:before="0" w:after="0"/>
            </w:pPr>
            <w:r>
              <w:rPr>
                <w:rFonts w:ascii="Calibri" w:hAnsi="Calibri"/>
                <w:b/>
                <w:color w:val="F57C00"/>
                <w:sz w:val="19"/>
              </w:rPr>
              <w:t>Signal</w:t>
            </w:r>
          </w:p>
        </w:tc>
        <w:tc>
          <w:tcPr>
            <w:tcW w:type="dxa" w:w="2551"/>
            <w:shd w:val="clear" w:color="auto" w:fill="1E203E"/>
            <w:tcMar>
              <w:top w:w="100" w:type="dxa"/>
              <w:bottom w:w="100" w:type="dxa"/>
              <w:left w:w="130" w:type="dxa"/>
              <w:right w:w="130" w:type="dxa"/>
            </w:tcMar>
          </w:tcPr>
          <w:p>
            <w:pPr>
              <w:spacing w:before="0" w:after="0"/>
            </w:pPr>
            <w:r>
              <w:rPr>
                <w:rFonts w:ascii="Calibri" w:hAnsi="Calibri"/>
                <w:b/>
                <w:color w:val="F57C00"/>
                <w:sz w:val="19"/>
              </w:rPr>
              <w:t>What it is measuring</w:t>
            </w:r>
          </w:p>
        </w:tc>
        <w:tc>
          <w:tcPr>
            <w:tcW w:type="dxa" w:w="1587"/>
            <w:shd w:val="clear" w:color="auto" w:fill="1E203E"/>
            <w:tcMar>
              <w:top w:w="100" w:type="dxa"/>
              <w:bottom w:w="100" w:type="dxa"/>
              <w:left w:w="130" w:type="dxa"/>
              <w:right w:w="130" w:type="dxa"/>
            </w:tcMar>
          </w:tcPr>
          <w:p>
            <w:pPr>
              <w:spacing w:before="0" w:after="0"/>
            </w:pPr>
            <w:r>
              <w:rPr>
                <w:rFonts w:ascii="Calibri" w:hAnsi="Calibri"/>
                <w:b/>
                <w:color w:val="F57C00"/>
                <w:sz w:val="19"/>
              </w:rPr>
              <w:t>Low score (Fear)</w:t>
            </w:r>
          </w:p>
        </w:tc>
        <w:tc>
          <w:tcPr>
            <w:tcW w:type="dxa" w:w="1587"/>
            <w:shd w:val="clear" w:color="auto" w:fill="1E203E"/>
            <w:tcMar>
              <w:top w:w="100" w:type="dxa"/>
              <w:bottom w:w="100" w:type="dxa"/>
              <w:left w:w="130" w:type="dxa"/>
              <w:right w:w="130" w:type="dxa"/>
            </w:tcMar>
          </w:tcPr>
          <w:p>
            <w:pPr>
              <w:spacing w:before="0" w:after="0"/>
            </w:pPr>
            <w:r>
              <w:rPr>
                <w:rFonts w:ascii="Calibri" w:hAnsi="Calibri"/>
                <w:b/>
                <w:color w:val="F57C00"/>
                <w:sz w:val="19"/>
              </w:rPr>
              <w:t>High score (Greed)</w:t>
            </w:r>
          </w:p>
        </w:tc>
      </w:tr>
      <w:tr>
        <w:tc>
          <w:tcPr>
            <w:tcW w:type="dxa" w:w="1701"/>
            <w:shd w:val="clear" w:color="auto" w:fill="F5F5FA"/>
            <w:tcMar>
              <w:top w:w="90" w:type="dxa"/>
              <w:bottom w:w="90" w:type="dxa"/>
              <w:left w:w="130" w:type="dxa"/>
              <w:right w:w="130" w:type="dxa"/>
            </w:tcMar>
          </w:tcPr>
          <w:p>
            <w:pPr>
              <w:spacing w:before="0" w:after="0"/>
            </w:pPr>
            <w:r>
              <w:rPr>
                <w:rFonts w:ascii="Calibri" w:hAnsi="Calibri"/>
                <w:color w:val="222233"/>
                <w:sz w:val="19"/>
              </w:rPr>
              <w:t>FTSE Momentum</w:t>
            </w:r>
          </w:p>
        </w:tc>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FTSE 100 vs its 125-day rolling average</w:t>
            </w:r>
          </w:p>
        </w:tc>
        <w:tc>
          <w:tcPr>
            <w:tcW w:type="dxa" w:w="1587"/>
            <w:shd w:val="clear" w:color="auto" w:fill="F5F5FA"/>
            <w:tcMar>
              <w:top w:w="90" w:type="dxa"/>
              <w:bottom w:w="90" w:type="dxa"/>
              <w:left w:w="130" w:type="dxa"/>
              <w:right w:w="130" w:type="dxa"/>
            </w:tcMar>
          </w:tcPr>
          <w:p>
            <w:pPr>
              <w:spacing w:before="0" w:after="0"/>
            </w:pPr>
            <w:r>
              <w:rPr>
                <w:rFonts w:ascii="Calibri" w:hAnsi="Calibri"/>
                <w:color w:val="222233"/>
                <w:sz w:val="19"/>
              </w:rPr>
              <w:t>Index well below average</w:t>
            </w:r>
          </w:p>
        </w:tc>
        <w:tc>
          <w:tcPr>
            <w:tcW w:type="dxa" w:w="1587"/>
            <w:shd w:val="clear" w:color="auto" w:fill="F5F5FA"/>
            <w:tcMar>
              <w:top w:w="90" w:type="dxa"/>
              <w:bottom w:w="90" w:type="dxa"/>
              <w:left w:w="130" w:type="dxa"/>
              <w:right w:w="130" w:type="dxa"/>
            </w:tcMar>
          </w:tcPr>
          <w:p>
            <w:pPr>
              <w:spacing w:before="0" w:after="0"/>
            </w:pPr>
            <w:r>
              <w:rPr>
                <w:rFonts w:ascii="Calibri" w:hAnsi="Calibri"/>
                <w:color w:val="222233"/>
                <w:sz w:val="19"/>
              </w:rPr>
              <w:t>Index well above average</w:t>
            </w:r>
          </w:p>
        </w:tc>
      </w:tr>
      <w:tr>
        <w:tc>
          <w:tcPr>
            <w:tcW w:type="dxa" w:w="1701"/>
            <w:shd w:val="clear" w:color="auto" w:fill="FFFFFF"/>
            <w:tcMar>
              <w:top w:w="90" w:type="dxa"/>
              <w:bottom w:w="90" w:type="dxa"/>
              <w:left w:w="130" w:type="dxa"/>
              <w:right w:w="130" w:type="dxa"/>
            </w:tcMar>
          </w:tcPr>
          <w:p>
            <w:pPr>
              <w:spacing w:before="0" w:after="0"/>
            </w:pPr>
            <w:r>
              <w:rPr>
                <w:rFonts w:ascii="Calibri" w:hAnsi="Calibri"/>
                <w:color w:val="222233"/>
                <w:sz w:val="19"/>
              </w:rPr>
              <w:t>Market Breadth</w:t>
            </w:r>
          </w:p>
        </w:tc>
        <w:tc>
          <w:tcPr>
            <w:tcW w:type="dxa" w:w="2551"/>
            <w:shd w:val="clear" w:color="auto" w:fill="FFFFFF"/>
            <w:tcMar>
              <w:top w:w="90" w:type="dxa"/>
              <w:bottom w:w="90" w:type="dxa"/>
              <w:left w:w="130" w:type="dxa"/>
              <w:right w:w="130" w:type="dxa"/>
            </w:tcMar>
          </w:tcPr>
          <w:p>
            <w:pPr>
              <w:spacing w:before="0" w:after="0"/>
            </w:pPr>
            <w:r>
              <w:rPr>
                <w:rFonts w:ascii="Calibri" w:hAnsi="Calibri"/>
                <w:color w:val="222233"/>
                <w:sz w:val="19"/>
              </w:rPr>
              <w:t>% of FTSE 100 basket above 50-day MA</w:t>
            </w:r>
          </w:p>
        </w:tc>
        <w:tc>
          <w:tcPr>
            <w:tcW w:type="dxa" w:w="1587"/>
            <w:shd w:val="clear" w:color="auto" w:fill="FFFFFF"/>
            <w:tcMar>
              <w:top w:w="90" w:type="dxa"/>
              <w:bottom w:w="90" w:type="dxa"/>
              <w:left w:w="130" w:type="dxa"/>
              <w:right w:w="130" w:type="dxa"/>
            </w:tcMar>
          </w:tcPr>
          <w:p>
            <w:pPr>
              <w:spacing w:before="0" w:after="0"/>
            </w:pPr>
            <w:r>
              <w:rPr>
                <w:rFonts w:ascii="Calibri" w:hAnsi="Calibri"/>
                <w:color w:val="222233"/>
                <w:sz w:val="19"/>
              </w:rPr>
              <w:t>Most stocks in downtrends</w:t>
            </w:r>
          </w:p>
        </w:tc>
        <w:tc>
          <w:tcPr>
            <w:tcW w:type="dxa" w:w="1587"/>
            <w:shd w:val="clear" w:color="auto" w:fill="FFFFFF"/>
            <w:tcMar>
              <w:top w:w="90" w:type="dxa"/>
              <w:bottom w:w="90" w:type="dxa"/>
              <w:left w:w="130" w:type="dxa"/>
              <w:right w:w="130" w:type="dxa"/>
            </w:tcMar>
          </w:tcPr>
          <w:p>
            <w:pPr>
              <w:spacing w:before="0" w:after="0"/>
            </w:pPr>
            <w:r>
              <w:rPr>
                <w:rFonts w:ascii="Calibri" w:hAnsi="Calibri"/>
                <w:color w:val="222233"/>
                <w:sz w:val="19"/>
              </w:rPr>
              <w:t>Most stocks in uptrends</w:t>
            </w:r>
          </w:p>
        </w:tc>
      </w:tr>
      <w:tr>
        <w:tc>
          <w:tcPr>
            <w:tcW w:type="dxa" w:w="1701"/>
            <w:shd w:val="clear" w:color="auto" w:fill="F5F5FA"/>
            <w:tcMar>
              <w:top w:w="90" w:type="dxa"/>
              <w:bottom w:w="90" w:type="dxa"/>
              <w:left w:w="130" w:type="dxa"/>
              <w:right w:w="130" w:type="dxa"/>
            </w:tcMar>
          </w:tcPr>
          <w:p>
            <w:pPr>
              <w:spacing w:before="0" w:after="0"/>
            </w:pPr>
            <w:r>
              <w:rPr>
                <w:rFonts w:ascii="Calibri" w:hAnsi="Calibri"/>
                <w:color w:val="222233"/>
                <w:sz w:val="19"/>
              </w:rPr>
              <w:t>VIX</w:t>
            </w:r>
          </w:p>
        </w:tc>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US volatility index, inverted</w:t>
            </w:r>
          </w:p>
        </w:tc>
        <w:tc>
          <w:tcPr>
            <w:tcW w:type="dxa" w:w="1587"/>
            <w:shd w:val="clear" w:color="auto" w:fill="F5F5FA"/>
            <w:tcMar>
              <w:top w:w="90" w:type="dxa"/>
              <w:bottom w:w="90" w:type="dxa"/>
              <w:left w:w="130" w:type="dxa"/>
              <w:right w:w="130" w:type="dxa"/>
            </w:tcMar>
          </w:tcPr>
          <w:p>
            <w:pPr>
              <w:spacing w:before="0" w:after="0"/>
            </w:pPr>
            <w:r>
              <w:rPr>
                <w:rFonts w:ascii="Calibri" w:hAnsi="Calibri"/>
                <w:color w:val="222233"/>
                <w:sz w:val="19"/>
              </w:rPr>
              <w:t>VIX elevated — nervous</w:t>
            </w:r>
          </w:p>
        </w:tc>
        <w:tc>
          <w:tcPr>
            <w:tcW w:type="dxa" w:w="1587"/>
            <w:shd w:val="clear" w:color="auto" w:fill="F5F5FA"/>
            <w:tcMar>
              <w:top w:w="90" w:type="dxa"/>
              <w:bottom w:w="90" w:type="dxa"/>
              <w:left w:w="130" w:type="dxa"/>
              <w:right w:w="130" w:type="dxa"/>
            </w:tcMar>
          </w:tcPr>
          <w:p>
            <w:pPr>
              <w:spacing w:before="0" w:after="0"/>
            </w:pPr>
            <w:r>
              <w:rPr>
                <w:rFonts w:ascii="Calibri" w:hAnsi="Calibri"/>
                <w:color w:val="222233"/>
                <w:sz w:val="19"/>
              </w:rPr>
              <w:t>VIX low — calm</w:t>
            </w:r>
          </w:p>
        </w:tc>
      </w:tr>
      <w:tr>
        <w:tc>
          <w:tcPr>
            <w:tcW w:type="dxa" w:w="1701"/>
            <w:shd w:val="clear" w:color="auto" w:fill="FFFFFF"/>
            <w:tcMar>
              <w:top w:w="90" w:type="dxa"/>
              <w:bottom w:w="90" w:type="dxa"/>
              <w:left w:w="130" w:type="dxa"/>
              <w:right w:w="130" w:type="dxa"/>
            </w:tcMar>
          </w:tcPr>
          <w:p>
            <w:pPr>
              <w:spacing w:before="0" w:after="0"/>
            </w:pPr>
            <w:r>
              <w:rPr>
                <w:rFonts w:ascii="Calibri" w:hAnsi="Calibri"/>
                <w:color w:val="222233"/>
                <w:sz w:val="19"/>
              </w:rPr>
              <w:t>Safe Haven Demand</w:t>
            </w:r>
          </w:p>
        </w:tc>
        <w:tc>
          <w:tcPr>
            <w:tcW w:type="dxa" w:w="2551"/>
            <w:shd w:val="clear" w:color="auto" w:fill="FFFFFF"/>
            <w:tcMar>
              <w:top w:w="90" w:type="dxa"/>
              <w:bottom w:w="90" w:type="dxa"/>
              <w:left w:w="130" w:type="dxa"/>
              <w:right w:w="130" w:type="dxa"/>
            </w:tcMar>
          </w:tcPr>
          <w:p>
            <w:pPr>
              <w:spacing w:before="0" w:after="0"/>
            </w:pPr>
            <w:r>
              <w:rPr>
                <w:rFonts w:ascii="Calibri" w:hAnsi="Calibri"/>
                <w:color w:val="222233"/>
                <w:sz w:val="19"/>
              </w:rPr>
              <w:t>20-day return: FTSE 100 vs UK gilt ETF</w:t>
            </w:r>
          </w:p>
        </w:tc>
        <w:tc>
          <w:tcPr>
            <w:tcW w:type="dxa" w:w="1587"/>
            <w:shd w:val="clear" w:color="auto" w:fill="FFFFFF"/>
            <w:tcMar>
              <w:top w:w="90" w:type="dxa"/>
              <w:bottom w:w="90" w:type="dxa"/>
              <w:left w:w="130" w:type="dxa"/>
              <w:right w:w="130" w:type="dxa"/>
            </w:tcMar>
          </w:tcPr>
          <w:p>
            <w:pPr>
              <w:spacing w:before="0" w:after="0"/>
            </w:pPr>
            <w:r>
              <w:rPr>
                <w:rFonts w:ascii="Calibri" w:hAnsi="Calibri"/>
                <w:color w:val="222233"/>
                <w:sz w:val="19"/>
              </w:rPr>
              <w:t>Gilts outperforming stocks</w:t>
            </w:r>
          </w:p>
        </w:tc>
        <w:tc>
          <w:tcPr>
            <w:tcW w:type="dxa" w:w="1587"/>
            <w:shd w:val="clear" w:color="auto" w:fill="FFFFFF"/>
            <w:tcMar>
              <w:top w:w="90" w:type="dxa"/>
              <w:bottom w:w="90" w:type="dxa"/>
              <w:left w:w="130" w:type="dxa"/>
              <w:right w:w="130" w:type="dxa"/>
            </w:tcMar>
          </w:tcPr>
          <w:p>
            <w:pPr>
              <w:spacing w:before="0" w:after="0"/>
            </w:pPr>
            <w:r>
              <w:rPr>
                <w:rFonts w:ascii="Calibri" w:hAnsi="Calibri"/>
                <w:color w:val="222233"/>
                <w:sz w:val="19"/>
              </w:rPr>
              <w:t>Stocks outperforming gilts</w:t>
            </w:r>
          </w:p>
        </w:tc>
      </w:tr>
      <w:tr>
        <w:tc>
          <w:tcPr>
            <w:tcW w:type="dxa" w:w="1701"/>
            <w:shd w:val="clear" w:color="auto" w:fill="F5F5FA"/>
            <w:tcMar>
              <w:top w:w="90" w:type="dxa"/>
              <w:bottom w:w="90" w:type="dxa"/>
              <w:left w:w="130" w:type="dxa"/>
              <w:right w:w="130" w:type="dxa"/>
            </w:tcMar>
          </w:tcPr>
          <w:p>
            <w:pPr>
              <w:spacing w:before="0" w:after="0"/>
            </w:pPr>
            <w:r>
              <w:rPr>
                <w:rFonts w:ascii="Calibri" w:hAnsi="Calibri"/>
                <w:color w:val="222233"/>
                <w:sz w:val="19"/>
              </w:rPr>
              <w:t>Realised Vol</w:t>
            </w:r>
          </w:p>
        </w:tc>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20-day actual FTSE 100 volatility, inverted</w:t>
            </w:r>
          </w:p>
        </w:tc>
        <w:tc>
          <w:tcPr>
            <w:tcW w:type="dxa" w:w="1587"/>
            <w:shd w:val="clear" w:color="auto" w:fill="F5F5FA"/>
            <w:tcMar>
              <w:top w:w="90" w:type="dxa"/>
              <w:bottom w:w="90" w:type="dxa"/>
              <w:left w:w="130" w:type="dxa"/>
              <w:right w:w="130" w:type="dxa"/>
            </w:tcMar>
          </w:tcPr>
          <w:p>
            <w:pPr>
              <w:spacing w:before="0" w:after="0"/>
            </w:pPr>
            <w:r>
              <w:rPr>
                <w:rFonts w:ascii="Calibri" w:hAnsi="Calibri"/>
                <w:color w:val="222233"/>
                <w:sz w:val="19"/>
              </w:rPr>
              <w:t>High recent volatility</w:t>
            </w:r>
          </w:p>
        </w:tc>
        <w:tc>
          <w:tcPr>
            <w:tcW w:type="dxa" w:w="1587"/>
            <w:shd w:val="clear" w:color="auto" w:fill="F5F5FA"/>
            <w:tcMar>
              <w:top w:w="90" w:type="dxa"/>
              <w:bottom w:w="90" w:type="dxa"/>
              <w:left w:w="130" w:type="dxa"/>
              <w:right w:w="130" w:type="dxa"/>
            </w:tcMar>
          </w:tcPr>
          <w:p>
            <w:pPr>
              <w:spacing w:before="0" w:after="0"/>
            </w:pPr>
            <w:r>
              <w:rPr>
                <w:rFonts w:ascii="Calibri" w:hAnsi="Calibri"/>
                <w:color w:val="222233"/>
                <w:sz w:val="19"/>
              </w:rPr>
              <w:t>Low recent volatility</w:t>
            </w:r>
          </w:p>
        </w:tc>
      </w:tr>
      <w:tr>
        <w:tc>
          <w:tcPr>
            <w:tcW w:type="dxa" w:w="1701"/>
            <w:shd w:val="clear" w:color="auto" w:fill="FFFFFF"/>
            <w:tcMar>
              <w:top w:w="90" w:type="dxa"/>
              <w:bottom w:w="90" w:type="dxa"/>
              <w:left w:w="130" w:type="dxa"/>
              <w:right w:w="130" w:type="dxa"/>
            </w:tcMar>
          </w:tcPr>
          <w:p>
            <w:pPr>
              <w:spacing w:before="0" w:after="0"/>
            </w:pPr>
            <w:r>
              <w:rPr>
                <w:rFonts w:ascii="Calibri" w:hAnsi="Calibri"/>
                <w:color w:val="222233"/>
                <w:sz w:val="19"/>
              </w:rPr>
              <w:t>New Highs/Lows</w:t>
            </w:r>
          </w:p>
        </w:tc>
        <w:tc>
          <w:tcPr>
            <w:tcW w:type="dxa" w:w="2551"/>
            <w:shd w:val="clear" w:color="auto" w:fill="FFFFFF"/>
            <w:tcMar>
              <w:top w:w="90" w:type="dxa"/>
              <w:bottom w:w="90" w:type="dxa"/>
              <w:left w:w="130" w:type="dxa"/>
              <w:right w:w="130" w:type="dxa"/>
            </w:tcMar>
          </w:tcPr>
          <w:p>
            <w:pPr>
              <w:spacing w:before="0" w:after="0"/>
            </w:pPr>
            <w:r>
              <w:rPr>
                <w:rFonts w:ascii="Calibri" w:hAnsi="Calibri"/>
                <w:color w:val="222233"/>
                <w:sz w:val="19"/>
              </w:rPr>
              <w:t>% at 52-week highs minus % at 52-week lows</w:t>
            </w:r>
          </w:p>
        </w:tc>
        <w:tc>
          <w:tcPr>
            <w:tcW w:type="dxa" w:w="1587"/>
            <w:shd w:val="clear" w:color="auto" w:fill="FFFFFF"/>
            <w:tcMar>
              <w:top w:w="90" w:type="dxa"/>
              <w:bottom w:w="90" w:type="dxa"/>
              <w:left w:w="130" w:type="dxa"/>
              <w:right w:w="130" w:type="dxa"/>
            </w:tcMar>
          </w:tcPr>
          <w:p>
            <w:pPr>
              <w:spacing w:before="0" w:after="0"/>
            </w:pPr>
            <w:r>
              <w:rPr>
                <w:rFonts w:ascii="Calibri" w:hAnsi="Calibri"/>
                <w:color w:val="222233"/>
                <w:sz w:val="19"/>
              </w:rPr>
              <w:t>More new lows than highs</w:t>
            </w:r>
          </w:p>
        </w:tc>
        <w:tc>
          <w:tcPr>
            <w:tcW w:type="dxa" w:w="1587"/>
            <w:shd w:val="clear" w:color="auto" w:fill="FFFFFF"/>
            <w:tcMar>
              <w:top w:w="90" w:type="dxa"/>
              <w:bottom w:w="90" w:type="dxa"/>
              <w:left w:w="130" w:type="dxa"/>
              <w:right w:w="130" w:type="dxa"/>
            </w:tcMar>
          </w:tcPr>
          <w:p>
            <w:pPr>
              <w:spacing w:before="0" w:after="0"/>
            </w:pPr>
            <w:r>
              <w:rPr>
                <w:rFonts w:ascii="Calibri" w:hAnsi="Calibri"/>
                <w:color w:val="222233"/>
                <w:sz w:val="19"/>
              </w:rPr>
              <w:t>More new highs than lows</w:t>
            </w:r>
          </w:p>
        </w:tc>
      </w:tr>
    </w:tbl>
    <w:p>
      <w:pPr>
        <w:spacing w:after="80"/>
      </w:pPr>
    </w:p>
    <w:p>
      <w:pPr>
        <w:spacing w:before="40" w:after="120"/>
      </w:pPr>
      <w:r>
        <w:rPr>
          <w:rFonts w:ascii="Calibri" w:hAnsi="Calibri"/>
          <w:color w:val="222233"/>
          <w:sz w:val="20"/>
        </w:rPr>
        <w:t>How to use the score in practice:</w:t>
      </w:r>
    </w:p>
    <w:p>
      <w:pPr>
        <w:spacing w:before="20" w:after="40"/>
        <w:ind w:left="340"/>
      </w:pPr>
      <w:r>
        <w:rPr>
          <w:rFonts w:ascii="Calibri" w:hAnsi="Calibri"/>
          <w:color w:val="F57C00"/>
          <w:sz w:val="20"/>
        </w:rPr>
        <w:t xml:space="preserve">•  </w:t>
      </w:r>
      <w:r>
        <w:rPr>
          <w:rFonts w:ascii="Calibri" w:hAnsi="Calibri"/>
          <w:color w:val="222233"/>
          <w:sz w:val="20"/>
        </w:rPr>
        <w:t>Extreme Fear (below 25) has historically corresponded to good buying opportunities. When the market is most fearful, assets are often mispriced downward.</w:t>
      </w:r>
    </w:p>
    <w:p>
      <w:pPr>
        <w:spacing w:before="20" w:after="40"/>
        <w:ind w:left="340"/>
      </w:pPr>
      <w:r>
        <w:rPr>
          <w:rFonts w:ascii="Calibri" w:hAnsi="Calibri"/>
          <w:color w:val="F57C00"/>
          <w:sz w:val="20"/>
        </w:rPr>
        <w:t xml:space="preserve">•  </w:t>
      </w:r>
      <w:r>
        <w:rPr>
          <w:rFonts w:ascii="Calibri" w:hAnsi="Calibri"/>
          <w:color w:val="222233"/>
          <w:sz w:val="20"/>
        </w:rPr>
        <w:t>Extreme Greed (above 75) suggests the market is stretched. This is not a signal to sell everything, but a prompt to be selective and avoid overpaying for quality.</w:t>
      </w:r>
    </w:p>
    <w:p>
      <w:pPr>
        <w:spacing w:before="20" w:after="40"/>
        <w:ind w:left="340"/>
      </w:pPr>
      <w:r>
        <w:rPr>
          <w:rFonts w:ascii="Calibri" w:hAnsi="Calibri"/>
          <w:color w:val="F57C00"/>
          <w:sz w:val="20"/>
        </w:rPr>
        <w:t xml:space="preserve">•  </w:t>
      </w:r>
      <w:r>
        <w:rPr>
          <w:rFonts w:ascii="Calibri" w:hAnsi="Calibri"/>
          <w:color w:val="222233"/>
          <w:sz w:val="20"/>
        </w:rPr>
        <w:t>The direction of travel matters as much as the level. A score rising from 30 to 45 is more constructive than one falling from 60 to 45, even though both land at the same reading.</w:t>
      </w:r>
    </w:p>
    <w:p>
      <w:pPr>
        <w:shd w:val="clear" w:color="auto" w:fill="EEF2FF"/>
        <w:pBdr>
          <w:left w:val="single" w:sz="24" w:space="8" w:color="5560AA"/>
        </w:pBdr>
        <w:spacing w:before="120" w:after="160"/>
        <w:ind w:left="227"/>
      </w:pPr>
      <w:r>
        <w:rPr>
          <w:rFonts w:ascii="Calibri" w:hAnsi="Calibri"/>
          <w:b/>
          <w:color w:val="334499"/>
          <w:sz w:val="19"/>
        </w:rPr>
        <w:t xml:space="preserve">ℹ️  Note:  </w:t>
      </w:r>
      <w:r>
        <w:rPr>
          <w:rFonts w:ascii="Calibri" w:hAnsi="Calibri"/>
          <w:i/>
          <w:color w:val="222233"/>
          <w:sz w:val="19"/>
        </w:rPr>
        <w:t>The Fear &amp; Greed index is a sentiment tool, not a timing model. It tells you about the environment you are investing in, not exactly when to act.</w:t>
      </w:r>
    </w:p>
    <w:p>
      <w:pPr>
        <w:pBdr>
          <w:bottom w:val="single" w:sz="6" w:space="1" w:color="F57C00"/>
        </w:pBdr>
        <w:spacing w:before="320" w:after="100"/>
      </w:pPr>
      <w:r>
        <w:rPr>
          <w:rFonts w:ascii="Calibri" w:hAnsi="Calibri"/>
          <w:b/>
          <w:color w:val="12142E"/>
          <w:sz w:val="24"/>
        </w:rPr>
        <w:t>Cross-Asset View</w:t>
      </w:r>
    </w:p>
    <w:p>
      <w:pPr>
        <w:spacing w:before="40" w:after="120"/>
      </w:pPr>
      <w:r>
        <w:rPr>
          <w:rFonts w:ascii="Calibri" w:hAnsi="Calibri"/>
          <w:color w:val="222233"/>
          <w:sz w:val="20"/>
        </w:rPr>
        <w:t>The Cross-Asset page monitors four indicators that provide context beyond the equity market itself. UK stocks do not move in isolation — currency moves, commodity prices, and interest rates all affect company earnings and investor behaviour.</w:t>
      </w:r>
    </w:p>
    <w:p>
      <w:pPr>
        <w:spacing w:before="20" w:after="40"/>
        <w:ind w:left="340"/>
      </w:pPr>
      <w:r>
        <w:rPr>
          <w:rFonts w:ascii="Calibri" w:hAnsi="Calibri"/>
          <w:color w:val="F57C00"/>
          <w:sz w:val="20"/>
        </w:rPr>
        <w:t xml:space="preserve">•  </w:t>
      </w:r>
      <w:r>
        <w:rPr>
          <w:rFonts w:ascii="Calibri" w:hAnsi="Calibri"/>
          <w:b/>
          <w:color w:val="12142E"/>
          <w:sz w:val="20"/>
        </w:rPr>
        <w:t xml:space="preserve">GBP/USD  </w:t>
      </w:r>
      <w:r>
        <w:rPr>
          <w:rFonts w:ascii="Calibri" w:hAnsi="Calibri"/>
          <w:color w:val="222233"/>
          <w:sz w:val="20"/>
        </w:rPr>
        <w:t>A falling pound makes UK exporters more competitive (overseas revenues convert to more sterling) but raises costs for importers. Large GBP/USD moves can shift the relative appeal of different sectors significantly.</w:t>
      </w:r>
    </w:p>
    <w:p>
      <w:pPr>
        <w:spacing w:before="20" w:after="40"/>
        <w:ind w:left="340"/>
      </w:pPr>
      <w:r>
        <w:rPr>
          <w:rFonts w:ascii="Calibri" w:hAnsi="Calibri"/>
          <w:color w:val="F57C00"/>
          <w:sz w:val="20"/>
        </w:rPr>
        <w:t xml:space="preserve">•  </w:t>
      </w:r>
      <w:r>
        <w:rPr>
          <w:rFonts w:ascii="Calibri" w:hAnsi="Calibri"/>
          <w:b/>
          <w:color w:val="12142E"/>
          <w:sz w:val="20"/>
        </w:rPr>
        <w:t xml:space="preserve">Brent Crude  </w:t>
      </w:r>
      <w:r>
        <w:rPr>
          <w:rFonts w:ascii="Calibri" w:hAnsi="Calibri"/>
          <w:color w:val="222233"/>
          <w:sz w:val="20"/>
        </w:rPr>
        <w:t>The oil price directly affects energy company revenues and feeds into input costs across industrials and consumer goods. A sharp fall in oil often signals concern about global demand; a sustained rise is broadly inflationary.</w:t>
      </w:r>
    </w:p>
    <w:p>
      <w:pPr>
        <w:spacing w:before="20" w:after="40"/>
        <w:ind w:left="340"/>
      </w:pPr>
      <w:r>
        <w:rPr>
          <w:rFonts w:ascii="Calibri" w:hAnsi="Calibri"/>
          <w:color w:val="F57C00"/>
          <w:sz w:val="20"/>
        </w:rPr>
        <w:t xml:space="preserve">•  </w:t>
      </w:r>
      <w:r>
        <w:rPr>
          <w:rFonts w:ascii="Calibri" w:hAnsi="Calibri"/>
          <w:b/>
          <w:color w:val="12142E"/>
          <w:sz w:val="20"/>
        </w:rPr>
        <w:t xml:space="preserve">Gold  </w:t>
      </w:r>
      <w:r>
        <w:rPr>
          <w:rFonts w:ascii="Calibri" w:hAnsi="Calibri"/>
          <w:color w:val="222233"/>
          <w:sz w:val="20"/>
        </w:rPr>
        <w:t>Gold rises when investors are nervous about inflation, geopolitical risk, or currency stability. A sustained gold rally alongside falling equities is a classic risk-off signal.</w:t>
      </w:r>
    </w:p>
    <w:p>
      <w:pPr>
        <w:spacing w:before="20" w:after="40"/>
        <w:ind w:left="340"/>
      </w:pPr>
      <w:r>
        <w:rPr>
          <w:rFonts w:ascii="Calibri" w:hAnsi="Calibri"/>
          <w:color w:val="F57C00"/>
          <w:sz w:val="20"/>
        </w:rPr>
        <w:t xml:space="preserve">•  </w:t>
      </w:r>
      <w:r>
        <w:rPr>
          <w:rFonts w:ascii="Calibri" w:hAnsi="Calibri"/>
          <w:b/>
          <w:color w:val="12142E"/>
          <w:sz w:val="20"/>
        </w:rPr>
        <w:t xml:space="preserve">Gilt vs Utilities z-score  </w:t>
      </w:r>
      <w:r>
        <w:rPr>
          <w:rFonts w:ascii="Calibri" w:hAnsi="Calibri"/>
          <w:color w:val="222233"/>
          <w:sz w:val="20"/>
        </w:rPr>
        <w:t>Utilities shares behave somewhat like bonds — stable dividends, rate-sensitive. This z-score compares their relative performance to gilts. A very negative reading may indicate gilt yields have overshot and rate-sensitive stocks could be due a re-rating.</w:t>
      </w:r>
    </w:p>
    <w:p>
      <w:pPr>
        <w:pBdr>
          <w:bottom w:val="single" w:sz="6" w:space="1" w:color="F57C00"/>
        </w:pBdr>
        <w:spacing w:before="320" w:after="100"/>
      </w:pPr>
      <w:r>
        <w:rPr>
          <w:rFonts w:ascii="Calibri" w:hAnsi="Calibri"/>
          <w:b/>
          <w:color w:val="12142E"/>
          <w:sz w:val="24"/>
        </w:rPr>
        <w:t>UK Gilt Yield Curve</w:t>
      </w:r>
    </w:p>
    <w:p>
      <w:pPr>
        <w:spacing w:before="40" w:after="120"/>
      </w:pPr>
      <w:r>
        <w:rPr>
          <w:rFonts w:ascii="Calibri" w:hAnsi="Calibri"/>
          <w:color w:val="222233"/>
          <w:sz w:val="20"/>
        </w:rPr>
        <w:t>The yield curve plots UK government bond (gilt) interest rates across maturities from 2 to 30 years. In normal conditions the curve slopes upward: longer-dated bonds yield more because investors demand extra compensation for lending money over a longer period. When this inverts — short rates above long rates — it has historically been one of the most reliable recession indicators available.</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3138"/>
        <w:gridCol w:w="3138"/>
        <w:gridCol w:w="3138"/>
      </w:tblGrid>
      <w:tr>
        <w:tc>
          <w:tcPr>
            <w:tcW w:type="dxa" w:w="1247"/>
            <w:shd w:val="clear" w:color="auto" w:fill="1E203E"/>
            <w:tcMar>
              <w:top w:w="100" w:type="dxa"/>
              <w:bottom w:w="100" w:type="dxa"/>
              <w:left w:w="130" w:type="dxa"/>
              <w:right w:w="130" w:type="dxa"/>
            </w:tcMar>
          </w:tcPr>
          <w:p>
            <w:pPr>
              <w:spacing w:before="0" w:after="0"/>
            </w:pPr>
            <w:r>
              <w:rPr>
                <w:rFonts w:ascii="Calibri" w:hAnsi="Calibri"/>
                <w:b/>
                <w:color w:val="F57C00"/>
                <w:sz w:val="19"/>
              </w:rPr>
              <w:t>Shape</w:t>
            </w:r>
          </w:p>
        </w:tc>
        <w:tc>
          <w:tcPr>
            <w:tcW w:type="dxa" w:w="3005"/>
            <w:shd w:val="clear" w:color="auto" w:fill="1E203E"/>
            <w:tcMar>
              <w:top w:w="100" w:type="dxa"/>
              <w:bottom w:w="100" w:type="dxa"/>
              <w:left w:w="130" w:type="dxa"/>
              <w:right w:w="130" w:type="dxa"/>
            </w:tcMar>
          </w:tcPr>
          <w:p>
            <w:pPr>
              <w:spacing w:before="0" w:after="0"/>
            </w:pPr>
            <w:r>
              <w:rPr>
                <w:rFonts w:ascii="Calibri" w:hAnsi="Calibri"/>
                <w:b/>
                <w:color w:val="F57C00"/>
                <w:sz w:val="19"/>
              </w:rPr>
              <w:t>What it looks like</w:t>
            </w:r>
          </w:p>
        </w:tc>
        <w:tc>
          <w:tcPr>
            <w:tcW w:type="dxa" w:w="4535"/>
            <w:shd w:val="clear" w:color="auto" w:fill="1E203E"/>
            <w:tcMar>
              <w:top w:w="100" w:type="dxa"/>
              <w:bottom w:w="100" w:type="dxa"/>
              <w:left w:w="130" w:type="dxa"/>
              <w:right w:w="130" w:type="dxa"/>
            </w:tcMar>
          </w:tcPr>
          <w:p>
            <w:pPr>
              <w:spacing w:before="0" w:after="0"/>
            </w:pPr>
            <w:r>
              <w:rPr>
                <w:rFonts w:ascii="Calibri" w:hAnsi="Calibri"/>
                <w:b/>
                <w:color w:val="F57C00"/>
                <w:sz w:val="19"/>
              </w:rPr>
              <w:t>What it suggests</w:t>
            </w:r>
          </w:p>
        </w:tc>
      </w:tr>
      <w:tr>
        <w:tc>
          <w:tcPr>
            <w:tcW w:type="dxa" w:w="1247"/>
            <w:shd w:val="clear" w:color="auto" w:fill="F5F5FA"/>
            <w:tcMar>
              <w:top w:w="90" w:type="dxa"/>
              <w:bottom w:w="90" w:type="dxa"/>
              <w:left w:w="130" w:type="dxa"/>
              <w:right w:w="130" w:type="dxa"/>
            </w:tcMar>
          </w:tcPr>
          <w:p>
            <w:pPr>
              <w:spacing w:before="0" w:after="0"/>
            </w:pPr>
            <w:r>
              <w:rPr>
                <w:rFonts w:ascii="Calibri" w:hAnsi="Calibri"/>
                <w:color w:val="222233"/>
                <w:sz w:val="19"/>
              </w:rPr>
              <w:t>Normal</w:t>
            </w:r>
          </w:p>
        </w:tc>
        <w:tc>
          <w:tcPr>
            <w:tcW w:type="dxa" w:w="3005"/>
            <w:shd w:val="clear" w:color="auto" w:fill="F5F5FA"/>
            <w:tcMar>
              <w:top w:w="90" w:type="dxa"/>
              <w:bottom w:w="90" w:type="dxa"/>
              <w:left w:w="130" w:type="dxa"/>
              <w:right w:w="130" w:type="dxa"/>
            </w:tcMar>
          </w:tcPr>
          <w:p>
            <w:pPr>
              <w:spacing w:before="0" w:after="0"/>
            </w:pPr>
            <w:r>
              <w:rPr>
                <w:rFonts w:ascii="Calibri" w:hAnsi="Calibri"/>
                <w:color w:val="222233"/>
                <w:sz w:val="19"/>
              </w:rPr>
              <w:t>30Y yield clearly above 2Y yield</w:t>
            </w:r>
          </w:p>
        </w:tc>
        <w:tc>
          <w:tcPr>
            <w:tcW w:type="dxa" w:w="4535"/>
            <w:shd w:val="clear" w:color="auto" w:fill="F5F5FA"/>
            <w:tcMar>
              <w:top w:w="90" w:type="dxa"/>
              <w:bottom w:w="90" w:type="dxa"/>
              <w:left w:w="130" w:type="dxa"/>
              <w:right w:w="130" w:type="dxa"/>
            </w:tcMar>
          </w:tcPr>
          <w:p>
            <w:pPr>
              <w:spacing w:before="0" w:after="0"/>
            </w:pPr>
            <w:r>
              <w:rPr>
                <w:rFonts w:ascii="Calibri" w:hAnsi="Calibri"/>
                <w:color w:val="222233"/>
                <w:sz w:val="19"/>
              </w:rPr>
              <w:t>Economy growing; monetary policy broadly neutral</w:t>
            </w:r>
          </w:p>
        </w:tc>
      </w:tr>
      <w:tr>
        <w:tc>
          <w:tcPr>
            <w:tcW w:type="dxa" w:w="1247"/>
            <w:shd w:val="clear" w:color="auto" w:fill="FFFFFF"/>
            <w:tcMar>
              <w:top w:w="90" w:type="dxa"/>
              <w:bottom w:w="90" w:type="dxa"/>
              <w:left w:w="130" w:type="dxa"/>
              <w:right w:w="130" w:type="dxa"/>
            </w:tcMar>
          </w:tcPr>
          <w:p>
            <w:pPr>
              <w:spacing w:before="0" w:after="0"/>
            </w:pPr>
            <w:r>
              <w:rPr>
                <w:rFonts w:ascii="Calibri" w:hAnsi="Calibri"/>
                <w:color w:val="222233"/>
                <w:sz w:val="19"/>
              </w:rPr>
              <w:t>Flat</w:t>
            </w:r>
          </w:p>
        </w:tc>
        <w:tc>
          <w:tcPr>
            <w:tcW w:type="dxa" w:w="3005"/>
            <w:shd w:val="clear" w:color="auto" w:fill="FFFFFF"/>
            <w:tcMar>
              <w:top w:w="90" w:type="dxa"/>
              <w:bottom w:w="90" w:type="dxa"/>
              <w:left w:w="130" w:type="dxa"/>
              <w:right w:w="130" w:type="dxa"/>
            </w:tcMar>
          </w:tcPr>
          <w:p>
            <w:pPr>
              <w:spacing w:before="0" w:after="0"/>
            </w:pPr>
            <w:r>
              <w:rPr>
                <w:rFonts w:ascii="Calibri" w:hAnsi="Calibri"/>
                <w:color w:val="222233"/>
                <w:sz w:val="19"/>
              </w:rPr>
              <w:t>30Y and 2Y yields roughly equal</w:t>
            </w:r>
          </w:p>
        </w:tc>
        <w:tc>
          <w:tcPr>
            <w:tcW w:type="dxa" w:w="4535"/>
            <w:shd w:val="clear" w:color="auto" w:fill="FFFFFF"/>
            <w:tcMar>
              <w:top w:w="90" w:type="dxa"/>
              <w:bottom w:w="90" w:type="dxa"/>
              <w:left w:w="130" w:type="dxa"/>
              <w:right w:w="130" w:type="dxa"/>
            </w:tcMar>
          </w:tcPr>
          <w:p>
            <w:pPr>
              <w:spacing w:before="0" w:after="0"/>
            </w:pPr>
            <w:r>
              <w:rPr>
                <w:rFonts w:ascii="Calibri" w:hAnsi="Calibri"/>
                <w:color w:val="222233"/>
                <w:sz w:val="19"/>
              </w:rPr>
              <w:t>Uncertainty; investors unsure about the outlook</w:t>
            </w:r>
          </w:p>
        </w:tc>
      </w:tr>
      <w:tr>
        <w:tc>
          <w:tcPr>
            <w:tcW w:type="dxa" w:w="1247"/>
            <w:shd w:val="clear" w:color="auto" w:fill="F5F5FA"/>
            <w:tcMar>
              <w:top w:w="90" w:type="dxa"/>
              <w:bottom w:w="90" w:type="dxa"/>
              <w:left w:w="130" w:type="dxa"/>
              <w:right w:w="130" w:type="dxa"/>
            </w:tcMar>
          </w:tcPr>
          <w:p>
            <w:pPr>
              <w:spacing w:before="0" w:after="0"/>
            </w:pPr>
            <w:r>
              <w:rPr>
                <w:rFonts w:ascii="Calibri" w:hAnsi="Calibri"/>
                <w:color w:val="222233"/>
                <w:sz w:val="19"/>
              </w:rPr>
              <w:t>Inverted</w:t>
            </w:r>
          </w:p>
        </w:tc>
        <w:tc>
          <w:tcPr>
            <w:tcW w:type="dxa" w:w="3005"/>
            <w:shd w:val="clear" w:color="auto" w:fill="F5F5FA"/>
            <w:tcMar>
              <w:top w:w="90" w:type="dxa"/>
              <w:bottom w:w="90" w:type="dxa"/>
              <w:left w:w="130" w:type="dxa"/>
              <w:right w:w="130" w:type="dxa"/>
            </w:tcMar>
          </w:tcPr>
          <w:p>
            <w:pPr>
              <w:spacing w:before="0" w:after="0"/>
            </w:pPr>
            <w:r>
              <w:rPr>
                <w:rFonts w:ascii="Calibri" w:hAnsi="Calibri"/>
                <w:color w:val="222233"/>
                <w:sz w:val="19"/>
              </w:rPr>
              <w:t>2Y yield above 10Y or 30Y (in red)</w:t>
            </w:r>
          </w:p>
        </w:tc>
        <w:tc>
          <w:tcPr>
            <w:tcW w:type="dxa" w:w="4535"/>
            <w:shd w:val="clear" w:color="auto" w:fill="F5F5FA"/>
            <w:tcMar>
              <w:top w:w="90" w:type="dxa"/>
              <w:bottom w:w="90" w:type="dxa"/>
              <w:left w:w="130" w:type="dxa"/>
              <w:right w:w="130" w:type="dxa"/>
            </w:tcMar>
          </w:tcPr>
          <w:p>
            <w:pPr>
              <w:spacing w:before="0" w:after="0"/>
            </w:pPr>
            <w:r>
              <w:rPr>
                <w:rFonts w:ascii="Calibri" w:hAnsi="Calibri"/>
                <w:color w:val="222233"/>
                <w:sz w:val="19"/>
              </w:rPr>
              <w:t>Historically associated with recessions; tight policy squeezing growth expectations</w:t>
            </w:r>
          </w:p>
        </w:tc>
      </w:tr>
    </w:tbl>
    <w:p>
      <w:pPr>
        <w:spacing w:after="80"/>
      </w:pPr>
    </w:p>
    <w:p>
      <w:pPr>
        <w:spacing w:before="40" w:after="120"/>
      </w:pPr>
      <w:r>
        <w:rPr>
          <w:rFonts w:ascii="Calibri" w:hAnsi="Calibri"/>
          <w:color w:val="222233"/>
          <w:sz w:val="20"/>
        </w:rPr>
        <w:t>The history chart lets you trace how the curve has evolved over one to five years. Toggle individual maturities on and off to focus on the parts of the curve that interest you. The 2Y/10Y spread — the gap between two-year and ten-year yields — is the most commonly cited inversion signal.</w:t>
      </w:r>
    </w:p>
    <w:p>
      <w:pPr>
        <w:shd w:val="clear" w:color="auto" w:fill="12142E"/>
        <w:spacing w:before="480" w:after="160"/>
      </w:pPr>
      <w:r>
        <w:rPr>
          <w:rFonts w:ascii="Calibri" w:hAnsi="Calibri"/>
          <w:b/>
          <w:color w:val="F57C00"/>
          <w:sz w:val="30"/>
        </w:rPr>
        <w:t xml:space="preserve">     Signal Log</w:t>
      </w:r>
    </w:p>
    <w:p>
      <w:pPr>
        <w:spacing w:before="40" w:after="120"/>
      </w:pPr>
      <w:r>
        <w:rPr>
          <w:rFonts w:ascii="Calibri" w:hAnsi="Calibri"/>
          <w:color w:val="222233"/>
          <w:sz w:val="20"/>
        </w:rPr>
        <w:t>Found under Sector Analysis, the Signal Log is a chronological record of events generated by the model, newest first. It is a useful audit trail — you can see what the model was flagging in recent days and weeks and form your own view of whether those signals proved meaningful.</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3138"/>
        <w:gridCol w:w="3138"/>
        <w:gridCol w:w="3138"/>
      </w:tblGrid>
      <w:tr>
        <w:tc>
          <w:tcPr>
            <w:tcW w:type="dxa" w:w="1417"/>
            <w:shd w:val="clear" w:color="auto" w:fill="1E203E"/>
            <w:tcMar>
              <w:top w:w="100" w:type="dxa"/>
              <w:bottom w:w="100" w:type="dxa"/>
              <w:left w:w="130" w:type="dxa"/>
              <w:right w:w="130" w:type="dxa"/>
            </w:tcMar>
          </w:tcPr>
          <w:p>
            <w:pPr>
              <w:spacing w:before="0" w:after="0"/>
            </w:pPr>
            <w:r>
              <w:rPr>
                <w:rFonts w:ascii="Calibri" w:hAnsi="Calibri"/>
                <w:b/>
                <w:color w:val="F57C00"/>
                <w:sz w:val="19"/>
              </w:rPr>
              <w:t>Badge</w:t>
            </w:r>
          </w:p>
        </w:tc>
        <w:tc>
          <w:tcPr>
            <w:tcW w:type="dxa" w:w="3118"/>
            <w:shd w:val="clear" w:color="auto" w:fill="1E203E"/>
            <w:tcMar>
              <w:top w:w="100" w:type="dxa"/>
              <w:bottom w:w="100" w:type="dxa"/>
              <w:left w:w="130" w:type="dxa"/>
              <w:right w:w="130" w:type="dxa"/>
            </w:tcMar>
          </w:tcPr>
          <w:p>
            <w:pPr>
              <w:spacing w:before="0" w:after="0"/>
            </w:pPr>
            <w:r>
              <w:rPr>
                <w:rFonts w:ascii="Calibri" w:hAnsi="Calibri"/>
                <w:b/>
                <w:color w:val="F57C00"/>
                <w:sz w:val="19"/>
              </w:rPr>
              <w:t>What triggered it</w:t>
            </w:r>
          </w:p>
        </w:tc>
        <w:tc>
          <w:tcPr>
            <w:tcW w:type="dxa" w:w="4252"/>
            <w:shd w:val="clear" w:color="auto" w:fill="1E203E"/>
            <w:tcMar>
              <w:top w:w="100" w:type="dxa"/>
              <w:bottom w:w="100" w:type="dxa"/>
              <w:left w:w="130" w:type="dxa"/>
              <w:right w:w="130" w:type="dxa"/>
            </w:tcMar>
          </w:tcPr>
          <w:p>
            <w:pPr>
              <w:spacing w:before="0" w:after="0"/>
            </w:pPr>
            <w:r>
              <w:rPr>
                <w:rFonts w:ascii="Calibri" w:hAnsi="Calibri"/>
                <w:b/>
                <w:color w:val="F57C00"/>
                <w:sz w:val="19"/>
              </w:rPr>
              <w:t>How to interpret it</w:t>
            </w:r>
          </w:p>
        </w:tc>
      </w:tr>
      <w:tr>
        <w:tc>
          <w:tcPr>
            <w:tcW w:type="dxa" w:w="1417"/>
            <w:shd w:val="clear" w:color="auto" w:fill="F5F5FA"/>
            <w:tcMar>
              <w:top w:w="90" w:type="dxa"/>
              <w:bottom w:w="90" w:type="dxa"/>
              <w:left w:w="130" w:type="dxa"/>
              <w:right w:w="130" w:type="dxa"/>
            </w:tcMar>
          </w:tcPr>
          <w:p>
            <w:pPr>
              <w:spacing w:before="0" w:after="0"/>
            </w:pPr>
            <w:r>
              <w:rPr>
                <w:rFonts w:ascii="Calibri" w:hAnsi="Calibri"/>
                <w:color w:val="222233"/>
                <w:sz w:val="19"/>
              </w:rPr>
              <w:t>BUY (green)</w:t>
            </w:r>
          </w:p>
        </w:tc>
        <w:tc>
          <w:tcPr>
            <w:tcW w:type="dxa" w:w="3118"/>
            <w:shd w:val="clear" w:color="auto" w:fill="F5F5FA"/>
            <w:tcMar>
              <w:top w:w="90" w:type="dxa"/>
              <w:bottom w:w="90" w:type="dxa"/>
              <w:left w:w="130" w:type="dxa"/>
              <w:right w:w="130" w:type="dxa"/>
            </w:tcMar>
          </w:tcPr>
          <w:p>
            <w:pPr>
              <w:spacing w:before="0" w:after="0"/>
            </w:pPr>
            <w:r>
              <w:rPr>
                <w:rFonts w:ascii="Calibri" w:hAnsi="Calibri"/>
                <w:color w:val="222233"/>
                <w:sz w:val="19"/>
              </w:rPr>
              <w:t>A sector’s RS score broke above 1.05 with the trend rising</w:t>
            </w:r>
          </w:p>
        </w:tc>
        <w:tc>
          <w:tcPr>
            <w:tcW w:type="dxa" w:w="4252"/>
            <w:shd w:val="clear" w:color="auto" w:fill="F5F5FA"/>
            <w:tcMar>
              <w:top w:w="90" w:type="dxa"/>
              <w:bottom w:w="90" w:type="dxa"/>
              <w:left w:w="130" w:type="dxa"/>
              <w:right w:w="130" w:type="dxa"/>
            </w:tcMar>
          </w:tcPr>
          <w:p>
            <w:pPr>
              <w:spacing w:before="0" w:after="0"/>
            </w:pPr>
            <w:r>
              <w:rPr>
                <w:rFonts w:ascii="Calibri" w:hAnsi="Calibri"/>
                <w:color w:val="222233"/>
                <w:sz w:val="19"/>
              </w:rPr>
              <w:t>Consider tilting your screener towards stocks in this sector</w:t>
            </w:r>
          </w:p>
        </w:tc>
      </w:tr>
      <w:tr>
        <w:tc>
          <w:tcPr>
            <w:tcW w:type="dxa" w:w="1417"/>
            <w:shd w:val="clear" w:color="auto" w:fill="FFFFFF"/>
            <w:tcMar>
              <w:top w:w="90" w:type="dxa"/>
              <w:bottom w:w="90" w:type="dxa"/>
              <w:left w:w="130" w:type="dxa"/>
              <w:right w:w="130" w:type="dxa"/>
            </w:tcMar>
          </w:tcPr>
          <w:p>
            <w:pPr>
              <w:spacing w:before="0" w:after="0"/>
            </w:pPr>
            <w:r>
              <w:rPr>
                <w:rFonts w:ascii="Calibri" w:hAnsi="Calibri"/>
                <w:color w:val="222233"/>
                <w:sz w:val="19"/>
              </w:rPr>
              <w:t>AVOID (red)</w:t>
            </w:r>
          </w:p>
        </w:tc>
        <w:tc>
          <w:tcPr>
            <w:tcW w:type="dxa" w:w="3118"/>
            <w:shd w:val="clear" w:color="auto" w:fill="FFFFFF"/>
            <w:tcMar>
              <w:top w:w="90" w:type="dxa"/>
              <w:bottom w:w="90" w:type="dxa"/>
              <w:left w:w="130" w:type="dxa"/>
              <w:right w:w="130" w:type="dxa"/>
            </w:tcMar>
          </w:tcPr>
          <w:p>
            <w:pPr>
              <w:spacing w:before="0" w:after="0"/>
            </w:pPr>
            <w:r>
              <w:rPr>
                <w:rFonts w:ascii="Calibri" w:hAnsi="Calibri"/>
                <w:color w:val="222233"/>
                <w:sz w:val="19"/>
              </w:rPr>
              <w:t>A sector’s RS score fell below 0.95 with the trend falling</w:t>
            </w:r>
          </w:p>
        </w:tc>
        <w:tc>
          <w:tcPr>
            <w:tcW w:type="dxa" w:w="4252"/>
            <w:shd w:val="clear" w:color="auto" w:fill="FFFFFF"/>
            <w:tcMar>
              <w:top w:w="90" w:type="dxa"/>
              <w:bottom w:w="90" w:type="dxa"/>
              <w:left w:w="130" w:type="dxa"/>
              <w:right w:w="130" w:type="dxa"/>
            </w:tcMar>
          </w:tcPr>
          <w:p>
            <w:pPr>
              <w:spacing w:before="0" w:after="0"/>
            </w:pPr>
            <w:r>
              <w:rPr>
                <w:rFonts w:ascii="Calibri" w:hAnsi="Calibri"/>
                <w:color w:val="222233"/>
                <w:sz w:val="19"/>
              </w:rPr>
              <w:t>Be cautious about adding new positions in this sector</w:t>
            </w:r>
          </w:p>
        </w:tc>
      </w:tr>
      <w:tr>
        <w:tc>
          <w:tcPr>
            <w:tcW w:type="dxa" w:w="1417"/>
            <w:shd w:val="clear" w:color="auto" w:fill="F5F5FA"/>
            <w:tcMar>
              <w:top w:w="90" w:type="dxa"/>
              <w:bottom w:w="90" w:type="dxa"/>
              <w:left w:w="130" w:type="dxa"/>
              <w:right w:w="130" w:type="dxa"/>
            </w:tcMar>
          </w:tcPr>
          <w:p>
            <w:pPr>
              <w:spacing w:before="0" w:after="0"/>
            </w:pPr>
            <w:r>
              <w:rPr>
                <w:rFonts w:ascii="Calibri" w:hAnsi="Calibri"/>
                <w:color w:val="222233"/>
                <w:sz w:val="19"/>
              </w:rPr>
              <w:t>ALERT (amber)</w:t>
            </w:r>
          </w:p>
        </w:tc>
        <w:tc>
          <w:tcPr>
            <w:tcW w:type="dxa" w:w="3118"/>
            <w:shd w:val="clear" w:color="auto" w:fill="F5F5FA"/>
            <w:tcMar>
              <w:top w:w="90" w:type="dxa"/>
              <w:bottom w:w="90" w:type="dxa"/>
              <w:left w:w="130" w:type="dxa"/>
              <w:right w:w="130" w:type="dxa"/>
            </w:tcMar>
          </w:tcPr>
          <w:p>
            <w:pPr>
              <w:spacing w:before="0" w:after="0"/>
            </w:pPr>
            <w:r>
              <w:rPr>
                <w:rFonts w:ascii="Calibri" w:hAnsi="Calibri"/>
                <w:color w:val="222233"/>
                <w:sz w:val="19"/>
              </w:rPr>
              <w:t>Market breadth crossed a significant threshold</w:t>
            </w:r>
          </w:p>
        </w:tc>
        <w:tc>
          <w:tcPr>
            <w:tcW w:type="dxa" w:w="4252"/>
            <w:shd w:val="clear" w:color="auto" w:fill="F5F5FA"/>
            <w:tcMar>
              <w:top w:w="90" w:type="dxa"/>
              <w:bottom w:w="90" w:type="dxa"/>
              <w:left w:w="130" w:type="dxa"/>
              <w:right w:w="130" w:type="dxa"/>
            </w:tcMar>
          </w:tcPr>
          <w:p>
            <w:pPr>
              <w:spacing w:before="0" w:after="0"/>
            </w:pPr>
            <w:r>
              <w:rPr>
                <w:rFonts w:ascii="Calibri" w:hAnsi="Calibri"/>
                <w:color w:val="222233"/>
                <w:sz w:val="19"/>
              </w:rPr>
              <w:t>Breadth is at an extreme — check the Breadth page for context</w:t>
            </w:r>
          </w:p>
        </w:tc>
      </w:tr>
      <w:tr>
        <w:tc>
          <w:tcPr>
            <w:tcW w:type="dxa" w:w="1417"/>
            <w:shd w:val="clear" w:color="auto" w:fill="FFFFFF"/>
            <w:tcMar>
              <w:top w:w="90" w:type="dxa"/>
              <w:bottom w:w="90" w:type="dxa"/>
              <w:left w:w="130" w:type="dxa"/>
              <w:right w:w="130" w:type="dxa"/>
            </w:tcMar>
          </w:tcPr>
          <w:p>
            <w:pPr>
              <w:spacing w:before="0" w:after="0"/>
            </w:pPr>
            <w:r>
              <w:rPr>
                <w:rFonts w:ascii="Calibri" w:hAnsi="Calibri"/>
                <w:color w:val="222233"/>
                <w:sz w:val="19"/>
              </w:rPr>
              <w:t>INFO (blue)</w:t>
            </w:r>
          </w:p>
        </w:tc>
        <w:tc>
          <w:tcPr>
            <w:tcW w:type="dxa" w:w="3118"/>
            <w:shd w:val="clear" w:color="auto" w:fill="FFFFFF"/>
            <w:tcMar>
              <w:top w:w="90" w:type="dxa"/>
              <w:bottom w:w="90" w:type="dxa"/>
              <w:left w:w="130" w:type="dxa"/>
              <w:right w:w="130" w:type="dxa"/>
            </w:tcMar>
          </w:tcPr>
          <w:p>
            <w:pPr>
              <w:spacing w:before="0" w:after="0"/>
            </w:pPr>
            <w:r>
              <w:rPr>
                <w:rFonts w:ascii="Calibri" w:hAnsi="Calibri"/>
                <w:color w:val="222233"/>
                <w:sz w:val="19"/>
              </w:rPr>
              <w:t>The cycle phase was updated automatically or via the Accept button</w:t>
            </w:r>
          </w:p>
        </w:tc>
        <w:tc>
          <w:tcPr>
            <w:tcW w:type="dxa" w:w="4252"/>
            <w:shd w:val="clear" w:color="auto" w:fill="FFFFFF"/>
            <w:tcMar>
              <w:top w:w="90" w:type="dxa"/>
              <w:bottom w:w="90" w:type="dxa"/>
              <w:left w:w="130" w:type="dxa"/>
              <w:right w:w="130" w:type="dxa"/>
            </w:tcMar>
          </w:tcPr>
          <w:p>
            <w:pPr>
              <w:spacing w:before="0" w:after="0"/>
            </w:pPr>
            <w:r>
              <w:rPr>
                <w:rFonts w:ascii="Calibri" w:hAnsi="Calibri"/>
                <w:color w:val="222233"/>
                <w:sz w:val="19"/>
              </w:rPr>
              <w:t>Records when the cycle model changed phase; informational only</w:t>
            </w:r>
          </w:p>
        </w:tc>
      </w:tr>
    </w:tbl>
    <w:p>
      <w:pPr>
        <w:spacing w:after="80"/>
      </w:pPr>
    </w:p>
    <w:p>
      <w:r>
        <w:br w:type="page"/>
      </w:r>
    </w:p>
    <w:p>
      <w:pPr>
        <w:shd w:val="clear" w:color="auto" w:fill="12142E"/>
        <w:spacing w:before="480" w:after="160"/>
      </w:pPr>
      <w:r>
        <w:rPr>
          <w:rFonts w:ascii="Calibri" w:hAnsi="Calibri"/>
          <w:b/>
          <w:color w:val="F57C00"/>
          <w:sz w:val="30"/>
        </w:rPr>
        <w:t xml:space="preserve">     How the Scores Work</w:t>
      </w:r>
    </w:p>
    <w:p>
      <w:pPr>
        <w:spacing w:before="40" w:after="120"/>
      </w:pPr>
      <w:r>
        <w:rPr>
          <w:rFonts w:ascii="Calibri" w:hAnsi="Calibri"/>
          <w:color w:val="222233"/>
          <w:sz w:val="20"/>
        </w:rPr>
        <w:t>The four composite scores — Momentum, Quality, Value, and Risk — each condense a large amount of financial data into a single number for screening and ranking. This section explains the logic behind each one and how to interpret what you see.</w:t>
      </w:r>
    </w:p>
    <w:p>
      <w:pPr>
        <w:pBdr>
          <w:bottom w:val="single" w:sz="6" w:space="1" w:color="F57C00"/>
        </w:pBdr>
        <w:spacing w:before="320" w:after="100"/>
      </w:pPr>
      <w:r>
        <w:rPr>
          <w:rFonts w:ascii="Calibri" w:hAnsi="Calibri"/>
          <w:b/>
          <w:color w:val="12142E"/>
          <w:sz w:val="24"/>
        </w:rPr>
        <w:t>Momentum Score (1–10)</w:t>
      </w:r>
    </w:p>
    <w:p>
      <w:pPr>
        <w:spacing w:before="40" w:after="120"/>
      </w:pPr>
      <w:r>
        <w:rPr>
          <w:rFonts w:ascii="Calibri" w:hAnsi="Calibri"/>
          <w:color w:val="222233"/>
          <w:sz w:val="20"/>
        </w:rPr>
        <w:t>Momentum measures how strongly a stock has been trending relative to its peers. The calculation uses the ‘12-1 month’ window: it looks at the price return from 252 trading days ago to 63 trading days ago, deliberately skipping the most recent three months to avoid picking up short-term reversals.</w:t>
      </w:r>
    </w:p>
    <w:p>
      <w:pPr>
        <w:spacing w:before="40" w:after="120"/>
      </w:pPr>
      <w:r>
        <w:rPr>
          <w:rFonts w:ascii="Calibri" w:hAnsi="Calibri"/>
          <w:color w:val="222233"/>
          <w:sz w:val="20"/>
        </w:rPr>
        <w:t>All stocks in the current screened universe are ranked by this return and scored 1–10 by percentile. A score of 9 or 10 means the stock is in the top 10–20% of momentum performers among the companies currently displayed. Because it is a relative rank, applying a sector filter will shift the scores — a score of 8 within Technology means something different to a score of 8 across the full All-Share.</w:t>
      </w:r>
    </w:p>
    <w:p>
      <w:pPr>
        <w:shd w:val="clear" w:color="auto" w:fill="EEF2FF"/>
        <w:pBdr>
          <w:left w:val="single" w:sz="24" w:space="8" w:color="5560AA"/>
        </w:pBdr>
        <w:spacing w:before="120" w:after="160"/>
        <w:ind w:left="227"/>
      </w:pPr>
      <w:r>
        <w:rPr>
          <w:rFonts w:ascii="Calibri" w:hAnsi="Calibri"/>
          <w:b/>
          <w:color w:val="334499"/>
          <w:sz w:val="19"/>
        </w:rPr>
        <w:t xml:space="preserve">ℹ️  Note:  </w:t>
      </w:r>
      <w:r>
        <w:rPr>
          <w:rFonts w:ascii="Calibri" w:hAnsi="Calibri"/>
          <w:i/>
          <w:color w:val="222233"/>
          <w:sz w:val="19"/>
        </w:rPr>
        <w:t>A high Momentum score means the market has been rewarding this stock — it says nothing about the quality of the underlying business. Always cross-check with Quality and Value before acting on momentum alone.</w:t>
      </w:r>
    </w:p>
    <w:p>
      <w:pPr>
        <w:pBdr>
          <w:bottom w:val="single" w:sz="6" w:space="1" w:color="F57C00"/>
        </w:pBdr>
        <w:spacing w:before="320" w:after="100"/>
      </w:pPr>
      <w:r>
        <w:rPr>
          <w:rFonts w:ascii="Calibri" w:hAnsi="Calibri"/>
          <w:b/>
          <w:color w:val="12142E"/>
          <w:sz w:val="24"/>
        </w:rPr>
        <w:t>Quality Score (0–10)</w:t>
      </w:r>
    </w:p>
    <w:p>
      <w:pPr>
        <w:spacing w:before="40" w:after="120"/>
      </w:pPr>
      <w:r>
        <w:rPr>
          <w:rFonts w:ascii="Calibri" w:hAnsi="Calibri"/>
          <w:color w:val="222233"/>
          <w:sz w:val="20"/>
        </w:rPr>
        <w:t>Quality tries to identify businesses with durable competitive advantages. It scores companies on five financial ratios that are hallmarks of high-quality businesses, and awards a bonus for each metric that is at or above the company’s own historical median. This means a company that was excellent and is improving scores higher than one that was excellent but is now slipping.</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3138"/>
        <w:gridCol w:w="3138"/>
        <w:gridCol w:w="3138"/>
      </w:tblGrid>
      <w:tr>
        <w:tc>
          <w:tcPr>
            <w:tcW w:type="dxa" w:w="1701"/>
            <w:shd w:val="clear" w:color="auto" w:fill="1E203E"/>
            <w:tcMar>
              <w:top w:w="100" w:type="dxa"/>
              <w:bottom w:w="100" w:type="dxa"/>
              <w:left w:w="130" w:type="dxa"/>
              <w:right w:w="130" w:type="dxa"/>
            </w:tcMar>
          </w:tcPr>
          <w:p>
            <w:pPr>
              <w:spacing w:before="0" w:after="0"/>
            </w:pPr>
            <w:r>
              <w:rPr>
                <w:rFonts w:ascii="Calibri" w:hAnsi="Calibri"/>
                <w:b/>
                <w:color w:val="F57C00"/>
                <w:sz w:val="19"/>
              </w:rPr>
              <w:t>Metric</w:t>
            </w:r>
          </w:p>
        </w:tc>
        <w:tc>
          <w:tcPr>
            <w:tcW w:type="dxa" w:w="1134"/>
            <w:shd w:val="clear" w:color="auto" w:fill="1E203E"/>
            <w:tcMar>
              <w:top w:w="100" w:type="dxa"/>
              <w:bottom w:w="100" w:type="dxa"/>
              <w:left w:w="130" w:type="dxa"/>
              <w:right w:w="130" w:type="dxa"/>
            </w:tcMar>
          </w:tcPr>
          <w:p>
            <w:pPr>
              <w:spacing w:before="0" w:after="0"/>
            </w:pPr>
            <w:r>
              <w:rPr>
                <w:rFonts w:ascii="Calibri" w:hAnsi="Calibri"/>
                <w:b/>
                <w:color w:val="F57C00"/>
                <w:sz w:val="19"/>
              </w:rPr>
              <w:t>Threshold</w:t>
            </w:r>
          </w:p>
        </w:tc>
        <w:tc>
          <w:tcPr>
            <w:tcW w:type="dxa" w:w="5953"/>
            <w:shd w:val="clear" w:color="auto" w:fill="1E203E"/>
            <w:tcMar>
              <w:top w:w="100" w:type="dxa"/>
              <w:bottom w:w="100" w:type="dxa"/>
              <w:left w:w="130" w:type="dxa"/>
              <w:right w:w="130" w:type="dxa"/>
            </w:tcMar>
          </w:tcPr>
          <w:p>
            <w:pPr>
              <w:spacing w:before="0" w:after="0"/>
            </w:pPr>
            <w:r>
              <w:rPr>
                <w:rFonts w:ascii="Calibri" w:hAnsi="Calibri"/>
                <w:b/>
                <w:color w:val="F57C00"/>
                <w:sz w:val="19"/>
              </w:rPr>
              <w:t>Why it matters</w:t>
            </w:r>
          </w:p>
        </w:tc>
      </w:tr>
      <w:tr>
        <w:tc>
          <w:tcPr>
            <w:tcW w:type="dxa" w:w="1701"/>
            <w:shd w:val="clear" w:color="auto" w:fill="F5F5FA"/>
            <w:tcMar>
              <w:top w:w="90" w:type="dxa"/>
              <w:bottom w:w="90" w:type="dxa"/>
              <w:left w:w="130" w:type="dxa"/>
              <w:right w:w="130" w:type="dxa"/>
            </w:tcMar>
          </w:tcPr>
          <w:p>
            <w:pPr>
              <w:spacing w:before="0" w:after="0"/>
            </w:pPr>
            <w:r>
              <w:rPr>
                <w:rFonts w:ascii="Calibri" w:hAnsi="Calibri"/>
                <w:color w:val="222233"/>
                <w:sz w:val="19"/>
              </w:rPr>
              <w:t>ROIC</w:t>
            </w:r>
          </w:p>
        </w:tc>
        <w:tc>
          <w:tcPr>
            <w:tcW w:type="dxa" w:w="1134"/>
            <w:shd w:val="clear" w:color="auto" w:fill="F5F5FA"/>
            <w:tcMar>
              <w:top w:w="90" w:type="dxa"/>
              <w:bottom w:w="90" w:type="dxa"/>
              <w:left w:w="130" w:type="dxa"/>
              <w:right w:w="130" w:type="dxa"/>
            </w:tcMar>
          </w:tcPr>
          <w:p>
            <w:pPr>
              <w:spacing w:before="0" w:after="0"/>
            </w:pPr>
            <w:r>
              <w:rPr>
                <w:rFonts w:ascii="Calibri" w:hAnsi="Calibri"/>
                <w:color w:val="222233"/>
                <w:sz w:val="19"/>
              </w:rPr>
              <w:t>&gt;10%</w:t>
            </w:r>
          </w:p>
        </w:tc>
        <w:tc>
          <w:tcPr>
            <w:tcW w:type="dxa" w:w="5953"/>
            <w:shd w:val="clear" w:color="auto" w:fill="F5F5FA"/>
            <w:tcMar>
              <w:top w:w="90" w:type="dxa"/>
              <w:bottom w:w="90" w:type="dxa"/>
              <w:left w:w="130" w:type="dxa"/>
              <w:right w:w="130" w:type="dxa"/>
            </w:tcMar>
          </w:tcPr>
          <w:p>
            <w:pPr>
              <w:spacing w:before="0" w:after="0"/>
            </w:pPr>
            <w:r>
              <w:rPr>
                <w:rFonts w:ascii="Calibri" w:hAnsi="Calibri"/>
                <w:color w:val="222233"/>
                <w:sz w:val="19"/>
              </w:rPr>
              <w:t>Return on Invested Capital — how efficiently the whole enterprise, equity and debt combined, generates returns. Sustained high ROIC above the cost of capital is the clearest signal of a genuine competitive advantage.</w:t>
            </w:r>
          </w:p>
        </w:tc>
      </w:tr>
      <w:tr>
        <w:tc>
          <w:tcPr>
            <w:tcW w:type="dxa" w:w="1701"/>
            <w:shd w:val="clear" w:color="auto" w:fill="FFFFFF"/>
            <w:tcMar>
              <w:top w:w="90" w:type="dxa"/>
              <w:bottom w:w="90" w:type="dxa"/>
              <w:left w:w="130" w:type="dxa"/>
              <w:right w:w="130" w:type="dxa"/>
            </w:tcMar>
          </w:tcPr>
          <w:p>
            <w:pPr>
              <w:spacing w:before="0" w:after="0"/>
            </w:pPr>
            <w:r>
              <w:rPr>
                <w:rFonts w:ascii="Calibri" w:hAnsi="Calibri"/>
                <w:color w:val="222233"/>
                <w:sz w:val="19"/>
              </w:rPr>
              <w:t>ROE</w:t>
            </w:r>
          </w:p>
        </w:tc>
        <w:tc>
          <w:tcPr>
            <w:tcW w:type="dxa" w:w="1134"/>
            <w:shd w:val="clear" w:color="auto" w:fill="FFFFFF"/>
            <w:tcMar>
              <w:top w:w="90" w:type="dxa"/>
              <w:bottom w:w="90" w:type="dxa"/>
              <w:left w:w="130" w:type="dxa"/>
              <w:right w:w="130" w:type="dxa"/>
            </w:tcMar>
          </w:tcPr>
          <w:p>
            <w:pPr>
              <w:spacing w:before="0" w:after="0"/>
            </w:pPr>
            <w:r>
              <w:rPr>
                <w:rFonts w:ascii="Calibri" w:hAnsi="Calibri"/>
                <w:color w:val="222233"/>
                <w:sz w:val="19"/>
              </w:rPr>
              <w:t>&gt;15%</w:t>
            </w:r>
          </w:p>
        </w:tc>
        <w:tc>
          <w:tcPr>
            <w:tcW w:type="dxa" w:w="5953"/>
            <w:shd w:val="clear" w:color="auto" w:fill="FFFFFF"/>
            <w:tcMar>
              <w:top w:w="90" w:type="dxa"/>
              <w:bottom w:w="90" w:type="dxa"/>
              <w:left w:w="130" w:type="dxa"/>
              <w:right w:w="130" w:type="dxa"/>
            </w:tcMar>
          </w:tcPr>
          <w:p>
            <w:pPr>
              <w:spacing w:before="0" w:after="0"/>
            </w:pPr>
            <w:r>
              <w:rPr>
                <w:rFonts w:ascii="Calibri" w:hAnsi="Calibri"/>
                <w:color w:val="222233"/>
                <w:sz w:val="19"/>
              </w:rPr>
              <w:t>Return on Equity — how much profit is generated per pound of shareholder equity. High ROE sustained over many years is one of the most reliable quality signals in investing.</w:t>
            </w:r>
          </w:p>
        </w:tc>
      </w:tr>
      <w:tr>
        <w:tc>
          <w:tcPr>
            <w:tcW w:type="dxa" w:w="1701"/>
            <w:shd w:val="clear" w:color="auto" w:fill="F5F5FA"/>
            <w:tcMar>
              <w:top w:w="90" w:type="dxa"/>
              <w:bottom w:w="90" w:type="dxa"/>
              <w:left w:w="130" w:type="dxa"/>
              <w:right w:w="130" w:type="dxa"/>
            </w:tcMar>
          </w:tcPr>
          <w:p>
            <w:pPr>
              <w:spacing w:before="0" w:after="0"/>
            </w:pPr>
            <w:r>
              <w:rPr>
                <w:rFonts w:ascii="Calibri" w:hAnsi="Calibri"/>
                <w:color w:val="222233"/>
                <w:sz w:val="19"/>
              </w:rPr>
              <w:t>Gross Margin</w:t>
            </w:r>
          </w:p>
        </w:tc>
        <w:tc>
          <w:tcPr>
            <w:tcW w:type="dxa" w:w="1134"/>
            <w:shd w:val="clear" w:color="auto" w:fill="F5F5FA"/>
            <w:tcMar>
              <w:top w:w="90" w:type="dxa"/>
              <w:bottom w:w="90" w:type="dxa"/>
              <w:left w:w="130" w:type="dxa"/>
              <w:right w:w="130" w:type="dxa"/>
            </w:tcMar>
          </w:tcPr>
          <w:p>
            <w:pPr>
              <w:spacing w:before="0" w:after="0"/>
            </w:pPr>
            <w:r>
              <w:rPr>
                <w:rFonts w:ascii="Calibri" w:hAnsi="Calibri"/>
                <w:color w:val="222233"/>
                <w:sz w:val="19"/>
              </w:rPr>
              <w:t>&gt;30%</w:t>
            </w:r>
          </w:p>
        </w:tc>
        <w:tc>
          <w:tcPr>
            <w:tcW w:type="dxa" w:w="5953"/>
            <w:shd w:val="clear" w:color="auto" w:fill="F5F5FA"/>
            <w:tcMar>
              <w:top w:w="90" w:type="dxa"/>
              <w:bottom w:w="90" w:type="dxa"/>
              <w:left w:w="130" w:type="dxa"/>
              <w:right w:w="130" w:type="dxa"/>
            </w:tcMar>
          </w:tcPr>
          <w:p>
            <w:pPr>
              <w:spacing w:before="0" w:after="0"/>
            </w:pPr>
            <w:r>
              <w:rPr>
                <w:rFonts w:ascii="Calibri" w:hAnsi="Calibri"/>
                <w:color w:val="222233"/>
                <w:sz w:val="19"/>
              </w:rPr>
              <w:t>Revenue minus direct costs, as a percentage of revenue. High gross margins indicate pricing power — customers are willing to pay a premium.</w:t>
            </w:r>
          </w:p>
        </w:tc>
      </w:tr>
      <w:tr>
        <w:tc>
          <w:tcPr>
            <w:tcW w:type="dxa" w:w="1701"/>
            <w:shd w:val="clear" w:color="auto" w:fill="FFFFFF"/>
            <w:tcMar>
              <w:top w:w="90" w:type="dxa"/>
              <w:bottom w:w="90" w:type="dxa"/>
              <w:left w:w="130" w:type="dxa"/>
              <w:right w:w="130" w:type="dxa"/>
            </w:tcMar>
          </w:tcPr>
          <w:p>
            <w:pPr>
              <w:spacing w:before="0" w:after="0"/>
            </w:pPr>
            <w:r>
              <w:rPr>
                <w:rFonts w:ascii="Calibri" w:hAnsi="Calibri"/>
                <w:color w:val="222233"/>
                <w:sz w:val="19"/>
              </w:rPr>
              <w:t>Operating Margin</w:t>
            </w:r>
          </w:p>
        </w:tc>
        <w:tc>
          <w:tcPr>
            <w:tcW w:type="dxa" w:w="1134"/>
            <w:shd w:val="clear" w:color="auto" w:fill="FFFFFF"/>
            <w:tcMar>
              <w:top w:w="90" w:type="dxa"/>
              <w:bottom w:w="90" w:type="dxa"/>
              <w:left w:w="130" w:type="dxa"/>
              <w:right w:w="130" w:type="dxa"/>
            </w:tcMar>
          </w:tcPr>
          <w:p>
            <w:pPr>
              <w:spacing w:before="0" w:after="0"/>
            </w:pPr>
            <w:r>
              <w:rPr>
                <w:rFonts w:ascii="Calibri" w:hAnsi="Calibri"/>
                <w:color w:val="222233"/>
                <w:sz w:val="19"/>
              </w:rPr>
              <w:t>&gt;10%</w:t>
            </w:r>
          </w:p>
        </w:tc>
        <w:tc>
          <w:tcPr>
            <w:tcW w:type="dxa" w:w="5953"/>
            <w:shd w:val="clear" w:color="auto" w:fill="FFFFFF"/>
            <w:tcMar>
              <w:top w:w="90" w:type="dxa"/>
              <w:bottom w:w="90" w:type="dxa"/>
              <w:left w:w="130" w:type="dxa"/>
              <w:right w:w="130" w:type="dxa"/>
            </w:tcMar>
          </w:tcPr>
          <w:p>
            <w:pPr>
              <w:spacing w:before="0" w:after="0"/>
            </w:pPr>
            <w:r>
              <w:rPr>
                <w:rFonts w:ascii="Calibri" w:hAnsi="Calibri"/>
                <w:color w:val="222233"/>
                <w:sz w:val="19"/>
              </w:rPr>
              <w:t>Profit after operating costs but before interest and tax. Measures operational efficiency and the ability to convert revenue into earnings.</w:t>
            </w:r>
          </w:p>
        </w:tc>
      </w:tr>
      <w:tr>
        <w:tc>
          <w:tcPr>
            <w:tcW w:type="dxa" w:w="1701"/>
            <w:shd w:val="clear" w:color="auto" w:fill="F5F5FA"/>
            <w:tcMar>
              <w:top w:w="90" w:type="dxa"/>
              <w:bottom w:w="90" w:type="dxa"/>
              <w:left w:w="130" w:type="dxa"/>
              <w:right w:w="130" w:type="dxa"/>
            </w:tcMar>
          </w:tcPr>
          <w:p>
            <w:pPr>
              <w:spacing w:before="0" w:after="0"/>
            </w:pPr>
            <w:r>
              <w:rPr>
                <w:rFonts w:ascii="Calibri" w:hAnsi="Calibri"/>
                <w:color w:val="222233"/>
                <w:sz w:val="19"/>
              </w:rPr>
              <w:t>FCF Margin</w:t>
            </w:r>
          </w:p>
        </w:tc>
        <w:tc>
          <w:tcPr>
            <w:tcW w:type="dxa" w:w="1134"/>
            <w:shd w:val="clear" w:color="auto" w:fill="F5F5FA"/>
            <w:tcMar>
              <w:top w:w="90" w:type="dxa"/>
              <w:bottom w:w="90" w:type="dxa"/>
              <w:left w:w="130" w:type="dxa"/>
              <w:right w:w="130" w:type="dxa"/>
            </w:tcMar>
          </w:tcPr>
          <w:p>
            <w:pPr>
              <w:spacing w:before="0" w:after="0"/>
            </w:pPr>
            <w:r>
              <w:rPr>
                <w:rFonts w:ascii="Calibri" w:hAnsi="Calibri"/>
                <w:color w:val="222233"/>
                <w:sz w:val="19"/>
              </w:rPr>
              <w:t>&gt;5%</w:t>
            </w:r>
          </w:p>
        </w:tc>
        <w:tc>
          <w:tcPr>
            <w:tcW w:type="dxa" w:w="5953"/>
            <w:shd w:val="clear" w:color="auto" w:fill="F5F5FA"/>
            <w:tcMar>
              <w:top w:w="90" w:type="dxa"/>
              <w:bottom w:w="90" w:type="dxa"/>
              <w:left w:w="130" w:type="dxa"/>
              <w:right w:w="130" w:type="dxa"/>
            </w:tcMar>
          </w:tcPr>
          <w:p>
            <w:pPr>
              <w:spacing w:before="0" w:after="0"/>
            </w:pPr>
            <w:r>
              <w:rPr>
                <w:rFonts w:ascii="Calibri" w:hAnsi="Calibri"/>
                <w:color w:val="222233"/>
                <w:sz w:val="19"/>
              </w:rPr>
              <w:t>Free cash flow as a percentage of revenue. Unlike reported profit, FCF cannot easily be manufactured through accounting choices — it is the cash the business actually produces.</w:t>
            </w:r>
          </w:p>
        </w:tc>
      </w:tr>
    </w:tbl>
    <w:p>
      <w:pPr>
        <w:spacing w:after="80"/>
      </w:pPr>
    </w:p>
    <w:p>
      <w:pPr>
        <w:pBdr>
          <w:bottom w:val="single" w:sz="6" w:space="1" w:color="F57C00"/>
        </w:pBdr>
        <w:spacing w:before="320" w:after="100"/>
      </w:pPr>
      <w:r>
        <w:rPr>
          <w:rFonts w:ascii="Calibri" w:hAnsi="Calibri"/>
          <w:b/>
          <w:color w:val="12142E"/>
          <w:sz w:val="24"/>
        </w:rPr>
        <w:t>Value Score — Piotroski F-Score (0–9)</w:t>
      </w:r>
    </w:p>
    <w:p>
      <w:pPr>
        <w:spacing w:before="40" w:after="120"/>
      </w:pPr>
      <w:r>
        <w:rPr>
          <w:rFonts w:ascii="Calibri" w:hAnsi="Calibri"/>
          <w:color w:val="222233"/>
          <w:sz w:val="20"/>
        </w:rPr>
        <w:t>The Piotroski F-Score does not ask whether a stock is cheap on a price multiple. It asks whether the company’s fundamentals are moving in the right direction. Each of nine binary tests scores 1 (pass) or 0 (fail). A score of 7–9 means the business is improving across most dimensions; a score of 0–2 means it is deteriorating.</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4707"/>
        <w:gridCol w:w="4707"/>
      </w:tblGrid>
      <w:tr>
        <w:tc>
          <w:tcPr>
            <w:tcW w:type="dxa" w:w="1984"/>
            <w:shd w:val="clear" w:color="auto" w:fill="1E203E"/>
            <w:tcMar>
              <w:top w:w="100" w:type="dxa"/>
              <w:bottom w:w="100" w:type="dxa"/>
              <w:left w:w="130" w:type="dxa"/>
              <w:right w:w="130" w:type="dxa"/>
            </w:tcMar>
          </w:tcPr>
          <w:p>
            <w:pPr>
              <w:spacing w:before="0" w:after="0"/>
            </w:pPr>
            <w:r>
              <w:rPr>
                <w:rFonts w:ascii="Calibri" w:hAnsi="Calibri"/>
                <w:b/>
                <w:color w:val="F57C00"/>
                <w:sz w:val="19"/>
              </w:rPr>
              <w:t>Group</w:t>
            </w:r>
          </w:p>
        </w:tc>
        <w:tc>
          <w:tcPr>
            <w:tcW w:type="dxa" w:w="6803"/>
            <w:shd w:val="clear" w:color="auto" w:fill="1E203E"/>
            <w:tcMar>
              <w:top w:w="100" w:type="dxa"/>
              <w:bottom w:w="100" w:type="dxa"/>
              <w:left w:w="130" w:type="dxa"/>
              <w:right w:w="130" w:type="dxa"/>
            </w:tcMar>
          </w:tcPr>
          <w:p>
            <w:pPr>
              <w:spacing w:before="0" w:after="0"/>
            </w:pPr>
            <w:r>
              <w:rPr>
                <w:rFonts w:ascii="Calibri" w:hAnsi="Calibri"/>
                <w:b/>
                <w:color w:val="F57C00"/>
                <w:sz w:val="19"/>
              </w:rPr>
              <w:t>What is being tested</w:t>
            </w:r>
          </w:p>
        </w:tc>
      </w:tr>
      <w:tr>
        <w:tc>
          <w:tcPr>
            <w:tcW w:type="dxa" w:w="1984"/>
            <w:shd w:val="clear" w:color="auto" w:fill="F5F5FA"/>
            <w:tcMar>
              <w:top w:w="90" w:type="dxa"/>
              <w:bottom w:w="90" w:type="dxa"/>
              <w:left w:w="130" w:type="dxa"/>
              <w:right w:w="130" w:type="dxa"/>
            </w:tcMar>
          </w:tcPr>
          <w:p>
            <w:pPr>
              <w:spacing w:before="0" w:after="0"/>
            </w:pPr>
            <w:r>
              <w:rPr>
                <w:rFonts w:ascii="Calibri" w:hAnsi="Calibri"/>
                <w:color w:val="222233"/>
                <w:sz w:val="19"/>
              </w:rPr>
              <w:t>Profitability</w:t>
            </w:r>
          </w:p>
        </w:tc>
        <w:tc>
          <w:tcPr>
            <w:tcW w:type="dxa" w:w="6803"/>
            <w:shd w:val="clear" w:color="auto" w:fill="F5F5FA"/>
            <w:tcMar>
              <w:top w:w="90" w:type="dxa"/>
              <w:bottom w:w="90" w:type="dxa"/>
              <w:left w:w="130" w:type="dxa"/>
              <w:right w:w="130" w:type="dxa"/>
            </w:tcMar>
          </w:tcPr>
          <w:p>
            <w:pPr>
              <w:spacing w:before="0" w:after="0"/>
            </w:pPr>
            <w:r>
              <w:rPr>
                <w:rFonts w:ascii="Calibri" w:hAnsi="Calibri"/>
                <w:color w:val="222233"/>
                <w:sz w:val="19"/>
              </w:rPr>
              <w:t>Is return on assets positive? Is operating cash flow positive? Is profitability improving year on year? Is cash flow greater than reported profit (a check on earnings quality)?</w:t>
            </w:r>
          </w:p>
        </w:tc>
      </w:tr>
      <w:tr>
        <w:tc>
          <w:tcPr>
            <w:tcW w:type="dxa" w:w="1984"/>
            <w:shd w:val="clear" w:color="auto" w:fill="FFFFFF"/>
            <w:tcMar>
              <w:top w:w="90" w:type="dxa"/>
              <w:bottom w:w="90" w:type="dxa"/>
              <w:left w:w="130" w:type="dxa"/>
              <w:right w:w="130" w:type="dxa"/>
            </w:tcMar>
          </w:tcPr>
          <w:p>
            <w:pPr>
              <w:spacing w:before="0" w:after="0"/>
            </w:pPr>
            <w:r>
              <w:rPr>
                <w:rFonts w:ascii="Calibri" w:hAnsi="Calibri"/>
                <w:color w:val="222233"/>
                <w:sz w:val="19"/>
              </w:rPr>
              <w:t>Leverage &amp; Liquidity</w:t>
            </w:r>
          </w:p>
        </w:tc>
        <w:tc>
          <w:tcPr>
            <w:tcW w:type="dxa" w:w="6803"/>
            <w:shd w:val="clear" w:color="auto" w:fill="FFFFFF"/>
            <w:tcMar>
              <w:top w:w="90" w:type="dxa"/>
              <w:bottom w:w="90" w:type="dxa"/>
              <w:left w:w="130" w:type="dxa"/>
              <w:right w:w="130" w:type="dxa"/>
            </w:tcMar>
          </w:tcPr>
          <w:p>
            <w:pPr>
              <w:spacing w:before="0" w:after="0"/>
            </w:pPr>
            <w:r>
              <w:rPr>
                <w:rFonts w:ascii="Calibri" w:hAnsi="Calibri"/>
                <w:color w:val="222233"/>
                <w:sz w:val="19"/>
              </w:rPr>
              <w:t>Is the debt-to-equity ratio falling? Is the current ratio improving? Has the company avoided issuing new shares and diluting existing shareholders?</w:t>
            </w:r>
          </w:p>
        </w:tc>
      </w:tr>
      <w:tr>
        <w:tc>
          <w:tcPr>
            <w:tcW w:type="dxa" w:w="1984"/>
            <w:shd w:val="clear" w:color="auto" w:fill="F5F5FA"/>
            <w:tcMar>
              <w:top w:w="90" w:type="dxa"/>
              <w:bottom w:w="90" w:type="dxa"/>
              <w:left w:w="130" w:type="dxa"/>
              <w:right w:w="130" w:type="dxa"/>
            </w:tcMar>
          </w:tcPr>
          <w:p>
            <w:pPr>
              <w:spacing w:before="0" w:after="0"/>
            </w:pPr>
            <w:r>
              <w:rPr>
                <w:rFonts w:ascii="Calibri" w:hAnsi="Calibri"/>
                <w:color w:val="222233"/>
                <w:sz w:val="19"/>
              </w:rPr>
              <w:t>Efficiency</w:t>
            </w:r>
          </w:p>
        </w:tc>
        <w:tc>
          <w:tcPr>
            <w:tcW w:type="dxa" w:w="6803"/>
            <w:shd w:val="clear" w:color="auto" w:fill="F5F5FA"/>
            <w:tcMar>
              <w:top w:w="90" w:type="dxa"/>
              <w:bottom w:w="90" w:type="dxa"/>
              <w:left w:w="130" w:type="dxa"/>
              <w:right w:w="130" w:type="dxa"/>
            </w:tcMar>
          </w:tcPr>
          <w:p>
            <w:pPr>
              <w:spacing w:before="0" w:after="0"/>
            </w:pPr>
            <w:r>
              <w:rPr>
                <w:rFonts w:ascii="Calibri" w:hAnsi="Calibri"/>
                <w:color w:val="222233"/>
                <w:sz w:val="19"/>
              </w:rPr>
              <w:t>Is the gross margin improving? Is asset turnover (revenue per pound of assets) improving?</w:t>
            </w:r>
          </w:p>
        </w:tc>
      </w:tr>
    </w:tbl>
    <w:p>
      <w:pPr>
        <w:spacing w:after="80"/>
      </w:pPr>
    </w:p>
    <w:p>
      <w:pPr>
        <w:spacing w:before="40" w:after="120"/>
      </w:pPr>
      <w:r>
        <w:rPr>
          <w:rFonts w:ascii="Calibri" w:hAnsi="Calibri"/>
          <w:color w:val="222233"/>
          <w:sz w:val="20"/>
        </w:rPr>
        <w:t>Setting the Value filter to ≥7 in the screener finds companies whose fundamentals are broadly improving — often a more reliable signal than raw cheapness on a P/E ratio alone.</w:t>
      </w:r>
    </w:p>
    <w:p>
      <w:pPr>
        <w:pBdr>
          <w:bottom w:val="single" w:sz="6" w:space="1" w:color="F57C00"/>
        </w:pBdr>
        <w:spacing w:before="320" w:after="100"/>
      </w:pPr>
      <w:r>
        <w:rPr>
          <w:rFonts w:ascii="Calibri" w:hAnsi="Calibri"/>
          <w:b/>
          <w:color w:val="12142E"/>
          <w:sz w:val="24"/>
        </w:rPr>
        <w:t>Risk Score (1–10)</w:t>
      </w:r>
    </w:p>
    <w:p>
      <w:pPr>
        <w:spacing w:before="40" w:after="120"/>
      </w:pPr>
      <w:r>
        <w:rPr>
          <w:rFonts w:ascii="Calibri" w:hAnsi="Calibri"/>
          <w:color w:val="222233"/>
          <w:sz w:val="20"/>
        </w:rPr>
        <w:t>The Risk Score combines two independent measures of financial fragility into a single number. Lower is better.</w:t>
      </w:r>
    </w:p>
    <w:p>
      <w:pPr>
        <w:spacing w:before="20" w:after="40"/>
        <w:ind w:left="340"/>
      </w:pPr>
      <w:r>
        <w:rPr>
          <w:rFonts w:ascii="Calibri" w:hAnsi="Calibri"/>
          <w:color w:val="F57C00"/>
          <w:sz w:val="20"/>
        </w:rPr>
        <w:t xml:space="preserve">•  </w:t>
      </w:r>
      <w:r>
        <w:rPr>
          <w:rFonts w:ascii="Calibri" w:hAnsi="Calibri"/>
          <w:b/>
          <w:color w:val="12142E"/>
          <w:sz w:val="20"/>
        </w:rPr>
        <w:t xml:space="preserve">Altman Z-Score  </w:t>
      </w:r>
      <w:r>
        <w:rPr>
          <w:rFonts w:ascii="Calibri" w:hAnsi="Calibri"/>
          <w:color w:val="222233"/>
          <w:sz w:val="20"/>
        </w:rPr>
        <w:t>(60% of the score) — a bankruptcy-prediction model using five accounting ratios. It remains one of the most tested models in corporate finance. Z-Score above 3.0 = financially sound; below 1.8 = distress zone.</w:t>
      </w:r>
    </w:p>
    <w:p>
      <w:pPr>
        <w:spacing w:before="20" w:after="40"/>
        <w:ind w:left="340"/>
      </w:pPr>
      <w:r>
        <w:rPr>
          <w:rFonts w:ascii="Calibri" w:hAnsi="Calibri"/>
          <w:color w:val="F57C00"/>
          <w:sz w:val="20"/>
        </w:rPr>
        <w:t xml:space="preserve">•  </w:t>
      </w:r>
      <w:r>
        <w:rPr>
          <w:rFonts w:ascii="Calibri" w:hAnsi="Calibri"/>
          <w:b/>
          <w:color w:val="12142E"/>
          <w:sz w:val="20"/>
        </w:rPr>
        <w:t xml:space="preserve">Annualised Volatility  </w:t>
      </w:r>
      <w:r>
        <w:rPr>
          <w:rFonts w:ascii="Calibri" w:hAnsi="Calibri"/>
          <w:color w:val="222233"/>
          <w:sz w:val="20"/>
        </w:rPr>
        <w:t>(40% of the score) — how much the share price has moved around over the past year, annualised. High volatility reflects a market that is deeply uncertain about the company’s value, which in itself is a risk signal.</w:t>
      </w:r>
    </w:p>
    <w:p>
      <w:pPr>
        <w:shd w:val="clear" w:color="auto" w:fill="FFF3E0"/>
        <w:pBdr>
          <w:left w:val="single" w:sz="24" w:space="8" w:color="F57C00"/>
        </w:pBdr>
        <w:spacing w:before="120" w:after="160"/>
        <w:ind w:left="227"/>
      </w:pPr>
      <w:r>
        <w:rPr>
          <w:rFonts w:ascii="Calibri" w:hAnsi="Calibri"/>
          <w:b/>
          <w:color w:val="C06A00"/>
          <w:sz w:val="19"/>
        </w:rPr>
        <w:t xml:space="preserve">💡  Tip:  </w:t>
      </w:r>
      <w:r>
        <w:rPr>
          <w:rFonts w:ascii="Calibri" w:hAnsi="Calibri"/>
          <w:i/>
          <w:color w:val="222233"/>
          <w:sz w:val="19"/>
        </w:rPr>
        <w:t>Use the Risk Score as a filter to shortlist, not as a verdict. A score of 7 means do your homework carefully, not avoid this stock. Always open the Health tab to understand what is driving the number.</w:t>
      </w:r>
    </w:p>
    <w:p>
      <w:r>
        <w:br w:type="page"/>
      </w:r>
    </w:p>
    <w:p>
      <w:pPr>
        <w:shd w:val="clear" w:color="auto" w:fill="12142E"/>
        <w:spacing w:before="480" w:after="160"/>
      </w:pPr>
      <w:r>
        <w:rPr>
          <w:rFonts w:ascii="Calibri" w:hAnsi="Calibri"/>
          <w:b/>
          <w:color w:val="F57C00"/>
          <w:sz w:val="30"/>
        </w:rPr>
        <w:t xml:space="preserve">     Suggested Workflows</w:t>
      </w:r>
    </w:p>
    <w:p>
      <w:pPr>
        <w:pBdr>
          <w:bottom w:val="single" w:sz="6" w:space="1" w:color="F57C00"/>
        </w:pBdr>
        <w:spacing w:before="320" w:after="100"/>
      </w:pPr>
      <w:r>
        <w:rPr>
          <w:rFonts w:ascii="Calibri" w:hAnsi="Calibri"/>
          <w:b/>
          <w:color w:val="12142E"/>
          <w:sz w:val="24"/>
        </w:rPr>
        <w:t>Morning Market Check  (5 minutes)</w:t>
      </w:r>
    </w:p>
    <w:p>
      <w:pPr>
        <w:spacing w:before="40" w:after="80"/>
        <w:ind w:left="340"/>
      </w:pPr>
      <w:r>
        <w:rPr>
          <w:rFonts w:ascii="Calibri" w:hAnsi="Calibri"/>
          <w:b/>
          <w:color w:val="F57C00"/>
          <w:sz w:val="20"/>
        </w:rPr>
        <w:t xml:space="preserve">1.  </w:t>
      </w:r>
      <w:r>
        <w:rPr>
          <w:rFonts w:ascii="Calibri" w:hAnsi="Calibri"/>
          <w:color w:val="222233"/>
          <w:sz w:val="20"/>
        </w:rPr>
        <w:t>Press ↻ Market to refresh all live data.</w:t>
      </w:r>
    </w:p>
    <w:p>
      <w:pPr>
        <w:spacing w:before="40" w:after="80"/>
        <w:ind w:left="340"/>
      </w:pPr>
      <w:r>
        <w:rPr>
          <w:rFonts w:ascii="Calibri" w:hAnsi="Calibri"/>
          <w:b/>
          <w:color w:val="F57C00"/>
          <w:sz w:val="20"/>
        </w:rPr>
        <w:t xml:space="preserve">2.  </w:t>
      </w:r>
      <w:r>
        <w:rPr>
          <w:rFonts w:ascii="Calibri" w:hAnsi="Calibri"/>
          <w:color w:val="222233"/>
          <w:sz w:val="20"/>
        </w:rPr>
        <w:t>Check the sidebar: are the FTSE indices up or down? Where is VIX? What is the UK Fear &amp; Greed score and which way is it trending?</w:t>
      </w:r>
    </w:p>
    <w:p>
      <w:pPr>
        <w:spacing w:before="40" w:after="80"/>
        <w:ind w:left="340"/>
      </w:pPr>
      <w:r>
        <w:rPr>
          <w:rFonts w:ascii="Calibri" w:hAnsi="Calibri"/>
          <w:b/>
          <w:color w:val="F57C00"/>
          <w:sz w:val="20"/>
        </w:rPr>
        <w:t xml:space="preserve">3.  </w:t>
      </w:r>
      <w:r>
        <w:rPr>
          <w:rFonts w:ascii="Calibri" w:hAnsi="Calibri"/>
          <w:color w:val="222233"/>
          <w:sz w:val="20"/>
        </w:rPr>
        <w:t>Go to Sector Rotation. Has the heatmap changed since yesterday? Check the Signal Log for any new BUY or AVOID signals.</w:t>
      </w:r>
    </w:p>
    <w:p>
      <w:pPr>
        <w:spacing w:before="40" w:after="80"/>
        <w:ind w:left="340"/>
      </w:pPr>
      <w:r>
        <w:rPr>
          <w:rFonts w:ascii="Calibri" w:hAnsi="Calibri"/>
          <w:b/>
          <w:color w:val="F57C00"/>
          <w:sz w:val="20"/>
        </w:rPr>
        <w:t xml:space="preserve">4.  </w:t>
      </w:r>
      <w:r>
        <w:rPr>
          <w:rFonts w:ascii="Calibri" w:hAnsi="Calibri"/>
          <w:color w:val="222233"/>
          <w:sz w:val="20"/>
        </w:rPr>
        <w:t>Go to Market Breadth. Is the percentage above the 50-day MA rising or falling? Is the A/D line trending up or starting to diverge from the index?</w:t>
      </w:r>
    </w:p>
    <w:p>
      <w:pPr>
        <w:spacing w:before="40" w:after="80"/>
        <w:ind w:left="340"/>
      </w:pPr>
      <w:r>
        <w:rPr>
          <w:rFonts w:ascii="Calibri" w:hAnsi="Calibri"/>
          <w:b/>
          <w:color w:val="F57C00"/>
          <w:sz w:val="20"/>
        </w:rPr>
        <w:t xml:space="preserve">5.  </w:t>
      </w:r>
      <w:r>
        <w:rPr>
          <w:rFonts w:ascii="Calibri" w:hAnsi="Calibri"/>
          <w:color w:val="222233"/>
          <w:sz w:val="20"/>
        </w:rPr>
        <w:t>Search for any existing holdings and check their Chart tab for notable price moves.</w:t>
      </w:r>
    </w:p>
    <w:p>
      <w:pPr>
        <w:pBdr>
          <w:bottom w:val="single" w:sz="6" w:space="1" w:color="F57C00"/>
        </w:pBdr>
        <w:spacing w:before="320" w:after="100"/>
      </w:pPr>
      <w:r>
        <w:rPr>
          <w:rFonts w:ascii="Calibri" w:hAnsi="Calibri"/>
          <w:b/>
          <w:color w:val="12142E"/>
          <w:sz w:val="24"/>
        </w:rPr>
        <w:t>Finding New Stock Ideas</w:t>
      </w:r>
    </w:p>
    <w:p>
      <w:pPr>
        <w:spacing w:before="40" w:after="80"/>
        <w:ind w:left="340"/>
      </w:pPr>
      <w:r>
        <w:rPr>
          <w:rFonts w:ascii="Calibri" w:hAnsi="Calibri"/>
          <w:b/>
          <w:color w:val="F57C00"/>
          <w:sz w:val="20"/>
        </w:rPr>
        <w:t xml:space="preserve">1.  </w:t>
      </w:r>
      <w:r>
        <w:rPr>
          <w:rFonts w:ascii="Calibri" w:hAnsi="Calibri"/>
          <w:color w:val="222233"/>
          <w:sz w:val="20"/>
        </w:rPr>
        <w:t>Go to the Screener. Set FTSE Index to your preferred universe (e.g. FTSE 250 for mid-caps).</w:t>
      </w:r>
    </w:p>
    <w:p>
      <w:pPr>
        <w:spacing w:before="40" w:after="80"/>
        <w:ind w:left="340"/>
      </w:pPr>
      <w:r>
        <w:rPr>
          <w:rFonts w:ascii="Calibri" w:hAnsi="Calibri"/>
          <w:b/>
          <w:color w:val="F57C00"/>
          <w:sz w:val="20"/>
        </w:rPr>
        <w:t xml:space="preserve">2.  </w:t>
      </w:r>
      <w:r>
        <w:rPr>
          <w:rFonts w:ascii="Calibri" w:hAnsi="Calibri"/>
          <w:color w:val="222233"/>
          <w:sz w:val="20"/>
        </w:rPr>
        <w:t>Open Advanced. Set Quality ≥6, Value ≥6, Risk ≤5 to find improving, quality businesses with manageable risk.</w:t>
      </w:r>
    </w:p>
    <w:p>
      <w:pPr>
        <w:spacing w:before="40" w:after="80"/>
        <w:ind w:left="340"/>
      </w:pPr>
      <w:r>
        <w:rPr>
          <w:rFonts w:ascii="Calibri" w:hAnsi="Calibri"/>
          <w:b/>
          <w:color w:val="F57C00"/>
          <w:sz w:val="20"/>
        </w:rPr>
        <w:t xml:space="preserve">3.  </w:t>
      </w:r>
      <w:r>
        <w:rPr>
          <w:rFonts w:ascii="Calibri" w:hAnsi="Calibri"/>
          <w:color w:val="222233"/>
          <w:sz w:val="20"/>
        </w:rPr>
        <w:t>Add Momentum ≥6 to focus on stocks the market is already rewarding.</w:t>
      </w:r>
    </w:p>
    <w:p>
      <w:pPr>
        <w:spacing w:before="40" w:after="80"/>
        <w:ind w:left="340"/>
      </w:pPr>
      <w:r>
        <w:rPr>
          <w:rFonts w:ascii="Calibri" w:hAnsi="Calibri"/>
          <w:b/>
          <w:color w:val="F57C00"/>
          <w:sz w:val="20"/>
        </w:rPr>
        <w:t xml:space="preserve">4.  </w:t>
      </w:r>
      <w:r>
        <w:rPr>
          <w:rFonts w:ascii="Calibri" w:hAnsi="Calibri"/>
          <w:color w:val="222233"/>
          <w:sz w:val="20"/>
        </w:rPr>
        <w:t>If a sector shows a BUY signal in the RS table, apply the Sector filter to concentrate there.</w:t>
      </w:r>
    </w:p>
    <w:p>
      <w:pPr>
        <w:spacing w:before="40" w:after="80"/>
        <w:ind w:left="340"/>
      </w:pPr>
      <w:r>
        <w:rPr>
          <w:rFonts w:ascii="Calibri" w:hAnsi="Calibri"/>
          <w:b/>
          <w:color w:val="F57C00"/>
          <w:sz w:val="20"/>
        </w:rPr>
        <w:t xml:space="preserve">5.  </w:t>
      </w:r>
      <w:r>
        <w:rPr>
          <w:rFonts w:ascii="Calibri" w:hAnsi="Calibri"/>
          <w:color w:val="222233"/>
          <w:sz w:val="20"/>
        </w:rPr>
        <w:t>Click through to each result. Start with the Overview and Growth tabs to verify the quality reading, then check Health for balance sheet concerns, then Chart for price context.</w:t>
      </w:r>
    </w:p>
    <w:p>
      <w:pPr>
        <w:pBdr>
          <w:bottom w:val="single" w:sz="6" w:space="1" w:color="F57C00"/>
        </w:pBdr>
        <w:spacing w:before="320" w:after="100"/>
      </w:pPr>
      <w:r>
        <w:rPr>
          <w:rFonts w:ascii="Calibri" w:hAnsi="Calibri"/>
          <w:b/>
          <w:color w:val="12142E"/>
          <w:sz w:val="24"/>
        </w:rPr>
        <w:t>Evaluating a Specific Company</w:t>
      </w:r>
    </w:p>
    <w:p>
      <w:pPr>
        <w:spacing w:before="40" w:after="80"/>
        <w:ind w:left="340"/>
      </w:pPr>
      <w:r>
        <w:rPr>
          <w:rFonts w:ascii="Calibri" w:hAnsi="Calibri"/>
          <w:b/>
          <w:color w:val="F57C00"/>
          <w:sz w:val="20"/>
        </w:rPr>
        <w:t xml:space="preserve">1.  </w:t>
      </w:r>
      <w:r>
        <w:rPr>
          <w:rFonts w:ascii="Calibri" w:hAnsi="Calibri"/>
          <w:color w:val="222233"/>
          <w:sz w:val="20"/>
        </w:rPr>
        <w:t>Use the Search box to find the company.</w:t>
      </w:r>
    </w:p>
    <w:p>
      <w:pPr>
        <w:spacing w:before="40" w:after="80"/>
        <w:ind w:left="340"/>
      </w:pPr>
      <w:r>
        <w:rPr>
          <w:rFonts w:ascii="Calibri" w:hAnsi="Calibri"/>
          <w:b/>
          <w:color w:val="F57C00"/>
          <w:sz w:val="20"/>
        </w:rPr>
        <w:t xml:space="preserve">2.  </w:t>
      </w:r>
      <w:r>
        <w:rPr>
          <w:rFonts w:ascii="Calibri" w:hAnsi="Calibri"/>
          <w:color w:val="222233"/>
          <w:sz w:val="20"/>
        </w:rPr>
        <w:t>Chart tab: check the price trend over 1Y and 3Y. Is it in an uptrend? Where is price relative to its moving averages?</w:t>
      </w:r>
    </w:p>
    <w:p>
      <w:pPr>
        <w:spacing w:before="40" w:after="80"/>
        <w:ind w:left="340"/>
      </w:pPr>
      <w:r>
        <w:rPr>
          <w:rFonts w:ascii="Calibri" w:hAnsi="Calibri"/>
          <w:b/>
          <w:color w:val="F57C00"/>
          <w:sz w:val="20"/>
        </w:rPr>
        <w:t xml:space="preserve">3.  </w:t>
      </w:r>
      <w:r>
        <w:rPr>
          <w:rFonts w:ascii="Calibri" w:hAnsi="Calibri"/>
          <w:color w:val="222233"/>
          <w:sz w:val="20"/>
        </w:rPr>
        <w:t>Overview: is the business profitable with strong returns on capital?</w:t>
      </w:r>
    </w:p>
    <w:p>
      <w:pPr>
        <w:spacing w:before="40" w:after="80"/>
        <w:ind w:left="340"/>
      </w:pPr>
      <w:r>
        <w:rPr>
          <w:rFonts w:ascii="Calibri" w:hAnsi="Calibri"/>
          <w:b/>
          <w:color w:val="F57C00"/>
          <w:sz w:val="20"/>
        </w:rPr>
        <w:t xml:space="preserve">4.  </w:t>
      </w:r>
      <w:r>
        <w:rPr>
          <w:rFonts w:ascii="Calibri" w:hAnsi="Calibri"/>
          <w:color w:val="222233"/>
          <w:sz w:val="20"/>
        </w:rPr>
        <w:t>Financials: is revenue growing? Is free cash flow consistently positive and growing?</w:t>
      </w:r>
    </w:p>
    <w:p>
      <w:pPr>
        <w:spacing w:before="40" w:after="80"/>
        <w:ind w:left="340"/>
      </w:pPr>
      <w:r>
        <w:rPr>
          <w:rFonts w:ascii="Calibri" w:hAnsi="Calibri"/>
          <w:b/>
          <w:color w:val="F57C00"/>
          <w:sz w:val="20"/>
        </w:rPr>
        <w:t xml:space="preserve">5.  </w:t>
      </w:r>
      <w:r>
        <w:rPr>
          <w:rFonts w:ascii="Calibri" w:hAnsi="Calibri"/>
          <w:color w:val="222233"/>
          <w:sz w:val="20"/>
        </w:rPr>
        <w:t>Health: what is the Risk Score? Check the Altman Z-Score and the Debt/Equity trend over time.</w:t>
      </w:r>
    </w:p>
    <w:p>
      <w:pPr>
        <w:spacing w:before="40" w:after="80"/>
        <w:ind w:left="340"/>
      </w:pPr>
      <w:r>
        <w:rPr>
          <w:rFonts w:ascii="Calibri" w:hAnsi="Calibri"/>
          <w:b/>
          <w:color w:val="F57C00"/>
          <w:sz w:val="20"/>
        </w:rPr>
        <w:t xml:space="preserve">6.  </w:t>
      </w:r>
      <w:r>
        <w:rPr>
          <w:rFonts w:ascii="Calibri" w:hAnsi="Calibri"/>
          <w:color w:val="222233"/>
          <w:sz w:val="20"/>
        </w:rPr>
        <w:t>Growth: what are the 10-year CAGRs? Are profit margins stable, widening, or compressing?</w:t>
      </w:r>
    </w:p>
    <w:p>
      <w:pPr>
        <w:spacing w:before="40" w:after="80"/>
        <w:ind w:left="340"/>
      </w:pPr>
      <w:r>
        <w:rPr>
          <w:rFonts w:ascii="Calibri" w:hAnsi="Calibri"/>
          <w:b/>
          <w:color w:val="F57C00"/>
          <w:sz w:val="20"/>
        </w:rPr>
        <w:t xml:space="preserve">7.  </w:t>
      </w:r>
      <w:r>
        <w:rPr>
          <w:rFonts w:ascii="Calibri" w:hAnsi="Calibri"/>
          <w:color w:val="222233"/>
          <w:sz w:val="20"/>
        </w:rPr>
        <w:t>Return to the Screener. How do this company’s scores compare to peers in the same sector?</w:t>
      </w:r>
    </w:p>
    <w:p>
      <w:pPr>
        <w:shd w:val="clear" w:color="auto" w:fill="12142E"/>
        <w:spacing w:before="480" w:after="160"/>
      </w:pPr>
      <w:r>
        <w:rPr>
          <w:rFonts w:ascii="Calibri" w:hAnsi="Calibri"/>
          <w:b/>
          <w:color w:val="F57C00"/>
          <w:sz w:val="30"/>
        </w:rPr>
        <w:t xml:space="preserve">     Data &amp; Refresh Reference</w:t>
      </w:r>
    </w:p>
    <w:tbl>
      <w:tblPr>
        <w:tblW w:type="auto" w:w="0"/>
        <w:jc w:val="left"/>
        <w:tblLook w:firstColumn="1" w:firstRow="1" w:lastColumn="0" w:lastRow="0" w:noHBand="0" w:noVBand="1" w:val="04A0"/>
        <w:tblBorders>
          <w:top w:val="single" w:sz="4" w:space="0" w:color="DDDDEE"/>
          <w:left w:val="single" w:sz="4" w:space="0" w:color="DDDDEE"/>
          <w:bottom w:val="single" w:sz="4" w:space="0" w:color="DDDDEE"/>
          <w:right w:val="single" w:sz="4" w:space="0" w:color="DDDDEE"/>
          <w:insideH w:val="single" w:sz="4" w:space="0" w:color="DDDDEE"/>
          <w:insideV w:val="single" w:sz="4" w:space="0" w:color="DDDDEE"/>
        </w:tblBorders>
      </w:tblPr>
      <w:tblGrid>
        <w:gridCol w:w="3138"/>
        <w:gridCol w:w="3138"/>
        <w:gridCol w:w="3138"/>
      </w:tblGrid>
      <w:tr>
        <w:tc>
          <w:tcPr>
            <w:tcW w:type="dxa" w:w="2551"/>
            <w:shd w:val="clear" w:color="auto" w:fill="1E203E"/>
            <w:tcMar>
              <w:top w:w="100" w:type="dxa"/>
              <w:bottom w:w="100" w:type="dxa"/>
              <w:left w:w="130" w:type="dxa"/>
              <w:right w:w="130" w:type="dxa"/>
            </w:tcMar>
          </w:tcPr>
          <w:p>
            <w:pPr>
              <w:spacing w:before="0" w:after="0"/>
            </w:pPr>
            <w:r>
              <w:rPr>
                <w:rFonts w:ascii="Calibri" w:hAnsi="Calibri"/>
                <w:b/>
                <w:color w:val="F57C00"/>
                <w:sz w:val="19"/>
              </w:rPr>
              <w:t>Data type</w:t>
            </w:r>
          </w:p>
        </w:tc>
        <w:tc>
          <w:tcPr>
            <w:tcW w:type="dxa" w:w="2551"/>
            <w:shd w:val="clear" w:color="auto" w:fill="1E203E"/>
            <w:tcMar>
              <w:top w:w="100" w:type="dxa"/>
              <w:bottom w:w="100" w:type="dxa"/>
              <w:left w:w="130" w:type="dxa"/>
              <w:right w:w="130" w:type="dxa"/>
            </w:tcMar>
          </w:tcPr>
          <w:p>
            <w:pPr>
              <w:spacing w:before="0" w:after="0"/>
            </w:pPr>
            <w:r>
              <w:rPr>
                <w:rFonts w:ascii="Calibri" w:hAnsi="Calibri"/>
                <w:b/>
                <w:color w:val="F57C00"/>
                <w:sz w:val="19"/>
              </w:rPr>
              <w:t>Source</w:t>
            </w:r>
          </w:p>
        </w:tc>
        <w:tc>
          <w:tcPr>
            <w:tcW w:type="dxa" w:w="3685"/>
            <w:shd w:val="clear" w:color="auto" w:fill="1E203E"/>
            <w:tcMar>
              <w:top w:w="100" w:type="dxa"/>
              <w:bottom w:w="100" w:type="dxa"/>
              <w:left w:w="130" w:type="dxa"/>
              <w:right w:w="130" w:type="dxa"/>
            </w:tcMar>
          </w:tcPr>
          <w:p>
            <w:pPr>
              <w:spacing w:before="0" w:after="0"/>
            </w:pPr>
            <w:r>
              <w:rPr>
                <w:rFonts w:ascii="Calibri" w:hAnsi="Calibri"/>
                <w:b/>
                <w:color w:val="F57C00"/>
                <w:sz w:val="19"/>
              </w:rPr>
              <w:t>How to refresh</w:t>
            </w:r>
          </w:p>
        </w:tc>
      </w:tr>
      <w:tr>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Benchmark indices, VIX, FX, commodity prices</w:t>
            </w:r>
          </w:p>
        </w:tc>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Live market data, cached 15 min</w:t>
            </w:r>
          </w:p>
        </w:tc>
        <w:tc>
          <w:tcPr>
            <w:tcW w:type="dxa" w:w="3685"/>
            <w:shd w:val="clear" w:color="auto" w:fill="F5F5FA"/>
            <w:tcMar>
              <w:top w:w="90" w:type="dxa"/>
              <w:bottom w:w="90" w:type="dxa"/>
              <w:left w:w="130" w:type="dxa"/>
              <w:right w:w="130" w:type="dxa"/>
            </w:tcMar>
          </w:tcPr>
          <w:p>
            <w:pPr>
              <w:spacing w:before="0" w:after="0"/>
            </w:pPr>
            <w:r>
              <w:rPr>
                <w:rFonts w:ascii="Calibri" w:hAnsi="Calibri"/>
                <w:color w:val="222233"/>
                <w:sz w:val="19"/>
              </w:rPr>
              <w:t>Press ↻ Market</w:t>
            </w:r>
          </w:p>
        </w:tc>
      </w:tr>
      <w:tr>
        <w:tc>
          <w:tcPr>
            <w:tcW w:type="dxa" w:w="2551"/>
            <w:shd w:val="clear" w:color="auto" w:fill="FFFFFF"/>
            <w:tcMar>
              <w:top w:w="90" w:type="dxa"/>
              <w:bottom w:w="90" w:type="dxa"/>
              <w:left w:w="130" w:type="dxa"/>
              <w:right w:w="130" w:type="dxa"/>
            </w:tcMar>
          </w:tcPr>
          <w:p>
            <w:pPr>
              <w:spacing w:before="0" w:after="0"/>
            </w:pPr>
            <w:r>
              <w:rPr>
                <w:rFonts w:ascii="Calibri" w:hAnsi="Calibri"/>
                <w:color w:val="222233"/>
                <w:sz w:val="19"/>
              </w:rPr>
              <w:t>Sector basket prices and Fear &amp; Greed</w:t>
            </w:r>
          </w:p>
        </w:tc>
        <w:tc>
          <w:tcPr>
            <w:tcW w:type="dxa" w:w="2551"/>
            <w:shd w:val="clear" w:color="auto" w:fill="FFFFFF"/>
            <w:tcMar>
              <w:top w:w="90" w:type="dxa"/>
              <w:bottom w:w="90" w:type="dxa"/>
              <w:left w:w="130" w:type="dxa"/>
              <w:right w:w="130" w:type="dxa"/>
            </w:tcMar>
          </w:tcPr>
          <w:p>
            <w:pPr>
              <w:spacing w:before="0" w:after="0"/>
            </w:pPr>
            <w:r>
              <w:rPr>
                <w:rFonts w:ascii="Calibri" w:hAnsi="Calibri"/>
                <w:color w:val="222233"/>
                <w:sz w:val="19"/>
              </w:rPr>
              <w:t>Live market data, cached 15 min</w:t>
            </w:r>
          </w:p>
        </w:tc>
        <w:tc>
          <w:tcPr>
            <w:tcW w:type="dxa" w:w="3685"/>
            <w:shd w:val="clear" w:color="auto" w:fill="FFFFFF"/>
            <w:tcMar>
              <w:top w:w="90" w:type="dxa"/>
              <w:bottom w:w="90" w:type="dxa"/>
              <w:left w:w="130" w:type="dxa"/>
              <w:right w:w="130" w:type="dxa"/>
            </w:tcMar>
          </w:tcPr>
          <w:p>
            <w:pPr>
              <w:spacing w:before="0" w:after="0"/>
            </w:pPr>
            <w:r>
              <w:rPr>
                <w:rFonts w:ascii="Calibri" w:hAnsi="Calibri"/>
                <w:color w:val="222233"/>
                <w:sz w:val="19"/>
              </w:rPr>
              <w:t>Press ↻ Market</w:t>
            </w:r>
          </w:p>
        </w:tc>
      </w:tr>
      <w:tr>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Stock price history (charts, momentum scores)</w:t>
            </w:r>
          </w:p>
        </w:tc>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Database populated via yfinance</w:t>
            </w:r>
          </w:p>
        </w:tc>
        <w:tc>
          <w:tcPr>
            <w:tcW w:type="dxa" w:w="3685"/>
            <w:shd w:val="clear" w:color="auto" w:fill="F5F5FA"/>
            <w:tcMar>
              <w:top w:w="90" w:type="dxa"/>
              <w:bottom w:w="90" w:type="dxa"/>
              <w:left w:w="130" w:type="dxa"/>
              <w:right w:w="130" w:type="dxa"/>
            </w:tcMar>
          </w:tcPr>
          <w:p>
            <w:pPr>
              <w:spacing w:before="0" w:after="0"/>
            </w:pPr>
            <w:r>
              <w:rPr>
                <w:rFonts w:ascii="Calibri" w:hAnsi="Calibri"/>
                <w:color w:val="222233"/>
                <w:sz w:val="19"/>
              </w:rPr>
              <w:t>Press ↻ Stock Prices — run once daily</w:t>
            </w:r>
          </w:p>
        </w:tc>
      </w:tr>
      <w:tr>
        <w:tc>
          <w:tcPr>
            <w:tcW w:type="dxa" w:w="2551"/>
            <w:shd w:val="clear" w:color="auto" w:fill="FFFFFF"/>
            <w:tcMar>
              <w:top w:w="90" w:type="dxa"/>
              <w:bottom w:w="90" w:type="dxa"/>
              <w:left w:w="130" w:type="dxa"/>
              <w:right w:w="130" w:type="dxa"/>
            </w:tcMar>
          </w:tcPr>
          <w:p>
            <w:pPr>
              <w:spacing w:before="0" w:after="0"/>
            </w:pPr>
            <w:r>
              <w:rPr>
                <w:rFonts w:ascii="Calibri" w:hAnsi="Calibri"/>
                <w:color w:val="222233"/>
                <w:sz w:val="19"/>
              </w:rPr>
              <w:t>UK gilt yield curve</w:t>
            </w:r>
          </w:p>
        </w:tc>
        <w:tc>
          <w:tcPr>
            <w:tcW w:type="dxa" w:w="2551"/>
            <w:shd w:val="clear" w:color="auto" w:fill="FFFFFF"/>
            <w:tcMar>
              <w:top w:w="90" w:type="dxa"/>
              <w:bottom w:w="90" w:type="dxa"/>
              <w:left w:w="130" w:type="dxa"/>
              <w:right w:w="130" w:type="dxa"/>
            </w:tcMar>
          </w:tcPr>
          <w:p>
            <w:pPr>
              <w:spacing w:before="0" w:after="0"/>
            </w:pPr>
            <w:r>
              <w:rPr>
                <w:rFonts w:ascii="Calibri" w:hAnsi="Calibri"/>
                <w:color w:val="222233"/>
                <w:sz w:val="19"/>
              </w:rPr>
              <w:t>Bank of England — fetched on page load</w:t>
            </w:r>
          </w:p>
        </w:tc>
        <w:tc>
          <w:tcPr>
            <w:tcW w:type="dxa" w:w="3685"/>
            <w:shd w:val="clear" w:color="auto" w:fill="FFFFFF"/>
            <w:tcMar>
              <w:top w:w="90" w:type="dxa"/>
              <w:bottom w:w="90" w:type="dxa"/>
              <w:left w:w="130" w:type="dxa"/>
              <w:right w:w="130" w:type="dxa"/>
            </w:tcMar>
          </w:tcPr>
          <w:p>
            <w:pPr>
              <w:spacing w:before="0" w:after="0"/>
            </w:pPr>
            <w:r>
              <w:rPr>
                <w:rFonts w:ascii="Calibri" w:hAnsi="Calibri"/>
                <w:color w:val="222233"/>
                <w:sz w:val="19"/>
              </w:rPr>
              <w:t>Visit the Cross-Asset page</w:t>
            </w:r>
          </w:p>
        </w:tc>
      </w:tr>
      <w:tr>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Company fundamentals (P/E, margins, etc.)</w:t>
            </w:r>
          </w:p>
        </w:tc>
        <w:tc>
          <w:tcPr>
            <w:tcW w:type="dxa" w:w="2551"/>
            <w:shd w:val="clear" w:color="auto" w:fill="F5F5FA"/>
            <w:tcMar>
              <w:top w:w="90" w:type="dxa"/>
              <w:bottom w:w="90" w:type="dxa"/>
              <w:left w:w="130" w:type="dxa"/>
              <w:right w:w="130" w:type="dxa"/>
            </w:tcMar>
          </w:tcPr>
          <w:p>
            <w:pPr>
              <w:spacing w:before="0" w:after="0"/>
            </w:pPr>
            <w:r>
              <w:rPr>
                <w:rFonts w:ascii="Calibri" w:hAnsi="Calibri"/>
                <w:color w:val="222233"/>
                <w:sz w:val="19"/>
              </w:rPr>
              <w:t>Local database</w:t>
            </w:r>
          </w:p>
        </w:tc>
        <w:tc>
          <w:tcPr>
            <w:tcW w:type="dxa" w:w="3685"/>
            <w:shd w:val="clear" w:color="auto" w:fill="F5F5FA"/>
            <w:tcMar>
              <w:top w:w="90" w:type="dxa"/>
              <w:bottom w:w="90" w:type="dxa"/>
              <w:left w:w="130" w:type="dxa"/>
              <w:right w:w="130" w:type="dxa"/>
            </w:tcMar>
          </w:tcPr>
          <w:p>
            <w:pPr>
              <w:spacing w:before="0" w:after="0"/>
            </w:pPr>
            <w:r>
              <w:rPr>
                <w:rFonts w:ascii="Calibri" w:hAnsi="Calibri"/>
                <w:color w:val="222233"/>
                <w:sz w:val="19"/>
              </w:rPr>
              <w:t>Updated via separate data import process</w:t>
            </w:r>
          </w:p>
        </w:tc>
      </w:tr>
    </w:tbl>
    <w:p>
      <w:pPr>
        <w:spacing w:after="80"/>
      </w:pPr>
    </w:p>
    <w:p>
      <w:pPr>
        <w:shd w:val="clear" w:color="auto" w:fill="EEF2FF"/>
        <w:pBdr>
          <w:left w:val="single" w:sz="24" w:space="8" w:color="5560AA"/>
        </w:pBdr>
        <w:spacing w:before="120" w:after="160"/>
        <w:ind w:left="227"/>
      </w:pPr>
      <w:r>
        <w:rPr>
          <w:rFonts w:ascii="Calibri" w:hAnsi="Calibri"/>
          <w:b/>
          <w:color w:val="334499"/>
          <w:sz w:val="19"/>
        </w:rPr>
        <w:t xml:space="preserve">ℹ️  Note:  </w:t>
      </w:r>
      <w:r>
        <w:rPr>
          <w:rFonts w:ascii="Calibri" w:hAnsi="Calibri"/>
          <w:i/>
          <w:color w:val="222233"/>
          <w:sz w:val="19"/>
        </w:rPr>
        <w:t>The Momentum score is calculated from the price history database. If you have not pressed ↻ Stock Prices today, momentum scores may not reflect the latest price moves.</w:t>
      </w:r>
    </w:p>
    <w:p>
      <w:r>
        <w:br w:type="page"/>
      </w:r>
    </w:p>
    <w:p>
      <w:pPr>
        <w:shd w:val="clear" w:color="auto" w:fill="12142E"/>
        <w:spacing w:before="480" w:after="160"/>
      </w:pPr>
      <w:r>
        <w:rPr>
          <w:rFonts w:ascii="Calibri" w:hAnsi="Calibri"/>
          <w:b/>
          <w:color w:val="F57C00"/>
          <w:sz w:val="30"/>
        </w:rPr>
        <w:t xml:space="preserve">     Appendix: Companies by Sector</w:t>
      </w:r>
    </w:p>
    <w:p>
      <w:pPr>
        <w:spacing w:before="40" w:after="120"/>
      </w:pPr>
      <w:r>
        <w:rPr>
          <w:rFonts w:ascii="Calibri" w:hAnsi="Calibri"/>
          <w:color w:val="222233"/>
          <w:sz w:val="20"/>
        </w:rPr>
        <w:t>The following tables list every company currently in the database, grouped by ICB sector. These are the companies that appear in the Screener and whose sector basket prices are tracked in the sidebar and Sector Analysis pages.</w:t>
      </w:r>
    </w:p>
    <w:p>
      <w:pPr>
        <w:pBdr>
          <w:bottom w:val="single" w:sz="6" w:space="1" w:color="F57C00"/>
        </w:pBdr>
        <w:spacing w:before="320" w:after="100"/>
      </w:pPr>
      <w:r>
        <w:rPr>
          <w:rFonts w:ascii="Calibri" w:hAnsi="Calibri"/>
          <w:b/>
          <w:color w:val="12142E"/>
          <w:sz w:val="24"/>
        </w:rPr>
        <w:t>Basic Materials  (27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AAL.L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Anglo American</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ANTO.L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Antofagasta</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ATYM.L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Atalaya Mining Copper</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BREE.L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Breedon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CAPD.L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Capital Limited</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CRDA.L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Croda International</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ECOR.L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Ecora Royalties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ELM.L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Elementis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EDV.L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Endeavour Mining</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ESNT.L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Essentra</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FXPO.L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Ferrexpo</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FORT.L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Forterra</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FRES.L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Fresnillo</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GLEN.L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Glencore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HOC.L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Hochschild Mining</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IBST.L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Ibstock</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JMAT.L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Johnson Matthey</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KMR.L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Kenmare Resources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MSLH.L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Marshalls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MNDI.L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Mondi</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PAF.L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Pan African Resources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RIO.L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Rio Tinto</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SYNT.L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Synthomer</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TET.L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Treatt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VSVS.L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Vesuvius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VCT.L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Victrex</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ZTF.L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Zotefoams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r>
          </w:p>
        </w:tc>
      </w:tr>
    </w:tbl>
    <w:p>
      <w:pPr>
        <w:spacing w:after="40"/>
      </w:pPr>
    </w:p>
    <w:p>
      <w:pPr>
        <w:pBdr>
          <w:bottom w:val="single" w:sz="6" w:space="1" w:color="F57C00"/>
        </w:pBdr>
        <w:spacing w:before="320" w:after="100"/>
      </w:pPr>
      <w:r>
        <w:rPr>
          <w:rFonts w:ascii="Calibri" w:hAnsi="Calibri"/>
          <w:b/>
          <w:color w:val="12142E"/>
          <w:sz w:val="24"/>
        </w:rPr>
        <w:t>Communication Services  (19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FOUR.L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4imprint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AAF.L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Airtel Africa</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AUTO.L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Auto Trader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BCG.L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Baltic Classifieds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BMY.L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Bloomsbury Publishing</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BT-A.L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BT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FUTR.L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Future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GAMA.L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Gamma Communications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HTWS.L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Helios Towers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INF.L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Informa</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ITV.L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ITV</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MONY.L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MONY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PSON.L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Pearson</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RCH.L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Reach</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RMV.L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Rightmove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SNWS.L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Smiths News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STVG.L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STV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VOD.L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Vodafone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WPP.L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WPP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r>
          </w:p>
        </w:tc>
      </w:tr>
    </w:tbl>
    <w:p>
      <w:pPr>
        <w:spacing w:after="40"/>
      </w:pPr>
    </w:p>
    <w:p>
      <w:pPr>
        <w:pBdr>
          <w:bottom w:val="single" w:sz="6" w:space="1" w:color="F57C00"/>
        </w:pBdr>
        <w:spacing w:before="320" w:after="100"/>
      </w:pPr>
      <w:r>
        <w:rPr>
          <w:rFonts w:ascii="Calibri" w:hAnsi="Calibri"/>
          <w:b/>
          <w:color w:val="12142E"/>
          <w:sz w:val="24"/>
        </w:rPr>
        <w:t>Consumer Cyclical  (60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AO.L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AO World</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ASC.L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ASOS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AML.L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Aston Martin Lagonda</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BTRW.L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Barratt Redrow</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BWY.L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Bellway</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BRBY.L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Burberry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CARD.L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Card Factory</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CCL.L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Carnival</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COA.L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Coats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CPG.L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Compass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CRST.L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Crest Nicholson</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CURY.L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Currys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DFS.L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DFS Furniture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DOM.L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Domino's Pizza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DOCS.L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Dr. Martens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DNLM.L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Dunelm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ENT.L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Entain</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EVOK.L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Evoke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FRAS.L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Frasers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FSTA.L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Fuller Smith &amp; Turner</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GAW.L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Games Workshop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GRG.L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Greggs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HFD.L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Halfords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HEAD.L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Headlam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BOWL.L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Hollywood Bowl</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HSW.L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Hostelworld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HWDN.L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Howden Joinery</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INCH.L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Inchcape</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IHG.L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InterContinental Hotels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JDW.L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J D Wetherspoon</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JD.L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JD Sports Fashion</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KGF.L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Kingfisher</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MACF.L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Macfarlane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MKS.L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Marks and Spencer</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MARS.L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Marston's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MER.L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Mears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MAB.L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Mitchells &amp; Butlers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GLE.L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MJ Gleeson</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MOON.L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Moonpig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MOTR.L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Motorpoint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NXT.L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NEXT</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OTB.L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On the Beach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PSN.L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Persimmon</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PETS.L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Pets at Home</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PTEC.L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Playtech</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PPH.L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PPHE Hotel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SSPG.L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SSP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TW.L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Taylor Wimpey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BKG.L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The Berkeley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GYM.L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The Gym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RNK.L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The Rank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THG.L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THG</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TPT.L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Topps Tiles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TRN.L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Trainline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VTY.L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Vistry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WOSG.L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Watches of Switzerland</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SMWH.L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WH Smith</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WTB.L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Whitbread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WIX.L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Wickes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XPS.L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XPS Pensions Group</w:t>
            </w:r>
          </w:p>
        </w:tc>
      </w:tr>
    </w:tbl>
    <w:p>
      <w:pPr>
        <w:spacing w:after="40"/>
      </w:pPr>
    </w:p>
    <w:p>
      <w:pPr>
        <w:pBdr>
          <w:bottom w:val="single" w:sz="6" w:space="1" w:color="F57C00"/>
        </w:pBdr>
        <w:spacing w:before="320" w:after="100"/>
      </w:pPr>
      <w:r>
        <w:rPr>
          <w:rFonts w:ascii="Calibri" w:hAnsi="Calibri"/>
          <w:b/>
          <w:color w:val="12142E"/>
          <w:sz w:val="24"/>
        </w:rPr>
        <w:t>Consumer Defensive  (26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BAG.L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A.G. Barr</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AEP.L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AEP Plantations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APN.L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Applied Nutrition</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ABF.L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Associated British Foods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BME.L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B&amp;M European Value Retail</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BATS.L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British American Tobacco</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BNZL.L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Bunzl</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CCR.L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C&amp;C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CCEP.L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Coca-Cola Europacific Partners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CCH.L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Coca-Cola HBC</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CWK.L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Cranswick</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DGE.L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Diageo</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FVA.L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Fevara</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GNC.L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Greencore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HFG.L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Hilton Food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IMB.L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Imperial Brands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SBRY.L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J Sainsbury</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MCB.L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McBride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OCDO.L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Ocado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PFD.L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Premier Foods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PZC.L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PZ Cussons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RKT.L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Reckitt Benckiser</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TATE.L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Tate &amp; Lyle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TSCO.L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Tesco</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TBTG.L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The Beauty Tech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ULVR.L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Unilever</w:t>
            </w:r>
          </w:p>
        </w:tc>
      </w:tr>
    </w:tbl>
    <w:p>
      <w:pPr>
        <w:spacing w:after="40"/>
      </w:pPr>
    </w:p>
    <w:p>
      <w:pPr>
        <w:pBdr>
          <w:bottom w:val="single" w:sz="6" w:space="1" w:color="F57C00"/>
        </w:pBdr>
        <w:spacing w:before="320" w:after="100"/>
      </w:pPr>
      <w:r>
        <w:rPr>
          <w:rFonts w:ascii="Calibri" w:hAnsi="Calibri"/>
          <w:b/>
          <w:color w:val="12142E"/>
          <w:sz w:val="24"/>
        </w:rPr>
        <w:t>Energy  (13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Ashtead Technology</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CNE.L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Capricorn Energy</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DCC.L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DCC</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ENOG.L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Energean</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ENQ.L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EnQuest</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GMS.L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Gulf Marine Services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HBR.L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Harbour Energy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HTG.L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Hunting</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ITH.L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Ithaca Energy</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PHAR.L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Pharos Energy</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SHEL.L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Shell</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TLW.L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Tullow Oil</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r>
          </w:p>
        </w:tc>
      </w:tr>
    </w:tbl>
    <w:p>
      <w:pPr>
        <w:spacing w:after="40"/>
      </w:pPr>
    </w:p>
    <w:p>
      <w:pPr>
        <w:pBdr>
          <w:bottom w:val="single" w:sz="6" w:space="1" w:color="F57C00"/>
        </w:pBdr>
        <w:spacing w:before="320" w:after="100"/>
      </w:pPr>
      <w:r>
        <w:rPr>
          <w:rFonts w:ascii="Calibri" w:hAnsi="Calibri"/>
          <w:b/>
          <w:color w:val="12142E"/>
          <w:sz w:val="24"/>
        </w:rPr>
        <w:t>Financial Services  (106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III.L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3i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3IN.L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3i Infrastructure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AAIF.L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Aberdeen Asian Income Fund</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ABDN.L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Aberdeen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ADM.L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Admiral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AJB.L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AJ Bell</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ASHM.L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Ashmore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AV.L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Aviva</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BNKR.L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Bankers Investment Trust</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BARC.L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Barclays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BEZ.L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Beazley</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BHMG.L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BH Macro</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BSIF.L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Bluefield Solar Income Fund</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BPT.L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Bridgepoint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BRK.L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Brooks Macdonald</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CABP.L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CAB Payments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CSN.L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Chesnara</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CHRY.L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Chrysalis Investments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CLIG.L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City of London Investment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CBG.L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Close Brothers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CMCX.L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CMC Markets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NCYF.L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CQS New City High Yield Fund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CTUK.L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CT UK Capital &amp; Income IT</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CVCG.L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CVC Income &amp; Growth</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DGI9.L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Digital 9 Infrastructure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EWI.L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Edinburgh Worldwide IT</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FEML.L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Fidelity Emerging Markets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FSV.L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Fidelity Special Values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FGEN.L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Foresight Environmental Infrastructure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FSG.L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Foresight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FSFL.L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Foresight Solar Fund</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FCH.L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Funding Circle</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GABI.L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GCP Asset Backed Income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GCP.L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GCP Infrastructure Investments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HVPE.L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HarbourVest Global Private Equity</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HFEL.L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Henderson Far East Income</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HICL.L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HICL Infrastructure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HSX.L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Hiscox</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HSBA.L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HSBC</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ICG.L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ICG</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IGG.L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IG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IGC.L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India Capital Growth Fund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IHP.L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IntegraFin</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IPF.L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International Personal Finance</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INPP.L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International Public Partnerships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BIPS.L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Invesco Bond Income Plus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INVP.L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Investec</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IPO.L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IP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JARA.L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JPMorgan Global Core Real Assets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JFJ.L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JPMorgan Japanese IT</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JTC.L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JTC</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JUP.L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Jupiter Fund Management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JUST.L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Just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LRE.L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Lancashire Holdings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LGEN.L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Legal &amp; General</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LTI.L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Lindsell Train IT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BGEO.L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Lion Finance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LIO.L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Liontrust Asset Management</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LLOY.L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Lloyds Banking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LSEG.L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London Stock Exchange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MNG.L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M&amp;G</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EMG.L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Man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MTRO.L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Metro Bank</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NWG.L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NatWest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NBPE.L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NB Private Equity Partners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NESF.L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NextEnergy Solar Fund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N91.L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Ninety One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OCI.L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Oakley Capital Investments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OIG.L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Oryx International Growth</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OSB.L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OSB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PAG.L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Paragon Banking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PEY.L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Partners Group Private Equity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PBEE.L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PensionBee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PSH.L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Pershing Square Holdings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PLUS.L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Plus500</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PCFT.L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Polar Capital Global Financials Trust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POLN.L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Pollen Street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PRU.L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Prudential</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QLT.L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Quilter</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RAT.L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Rathbones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RECI.L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Real Estate Credit Investments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REC.L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Record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RSE.L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Riverstone Energy</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RTW.L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RTW Biotech Opportunities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RICA.L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Ruffer Investment Company</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SUS.L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S&amp;U</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SBRE.L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Sabre Insurance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SAGA.L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Saga</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SDR.L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Schroders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STB.L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Secure Trust Bank</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SEQI.L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Sequoia Economic Infrastructure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SHAW.L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Shawbrook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STJ.L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St. James's Place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STAN.L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Standard Chartered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SDLF.L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Standard Life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SYNC.L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Syncona</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TBCG.L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TBC Bank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TCAP.L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TP ICAP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TFIF.L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TwentyFour Income Fund</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SMIF.L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TwentyFour Select Monthly Income</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UEM.L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Utilico Emerging Markets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VANQ.L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Vanquis Banking</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VEIL.L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Vietnam Enterprise IT</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VNH.L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VietNam Holding</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VOF.L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VinaCapital Vietnam Opportunity</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WWH.L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Worldwide Healthcare IT</w:t>
            </w:r>
          </w:p>
        </w:tc>
      </w:tr>
    </w:tbl>
    <w:p>
      <w:pPr>
        <w:spacing w:after="40"/>
      </w:pPr>
    </w:p>
    <w:p>
      <w:pPr>
        <w:pBdr>
          <w:bottom w:val="single" w:sz="6" w:space="1" w:color="F57C00"/>
        </w:pBdr>
        <w:spacing w:before="320" w:after="100"/>
      </w:pPr>
      <w:r>
        <w:rPr>
          <w:rFonts w:ascii="Calibri" w:hAnsi="Calibri"/>
          <w:b/>
          <w:color w:val="12142E"/>
          <w:sz w:val="24"/>
        </w:rPr>
        <w:t>Healthcare  (12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AZN.L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AstraZeneca</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CTEC.L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ConvaTec</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GNS.L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Genus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GSK.L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GSK</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HLN.L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Haleon</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HIK.L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Hikma Pharmaceuticals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IBT.L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International Biotechnology Trust</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OXB.L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Oxford Biomedica</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ONT.L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Oxford Nanopore Technologies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PRTC.L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PureTech Health</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Smith &amp; Nephew</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SPI.L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Spire Healthcare</w:t>
            </w:r>
          </w:p>
        </w:tc>
      </w:tr>
    </w:tbl>
    <w:p>
      <w:pPr>
        <w:spacing w:after="40"/>
      </w:pPr>
    </w:p>
    <w:p>
      <w:pPr>
        <w:pBdr>
          <w:bottom w:val="single" w:sz="6" w:space="1" w:color="F57C00"/>
        </w:pBdr>
        <w:spacing w:before="320" w:after="100"/>
      </w:pPr>
      <w:r>
        <w:rPr>
          <w:rFonts w:ascii="Calibri" w:hAnsi="Calibri"/>
          <w:b/>
          <w:color w:val="12142E"/>
          <w:sz w:val="24"/>
        </w:rPr>
        <w:t>Industrials  (66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AVON.L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Avon Technologies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BAB.L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Babcock International</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BA.L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BAE Systems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BBY.L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Balfour Beatty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BOY.L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Bodycote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BMS.L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Braemar</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CPI.L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Capita</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CWR.L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Ceres Power</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CHG.L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Chemring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CKN.L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Clarkson</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COST.L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Costain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DPLM.L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Diploma</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EZJ.L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easyJet</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ELIX.L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Elixirr International</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ECEL.L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Eurocell</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EXPN.L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Experian</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FGP.L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FirstGroup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GFRD.L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Galliford Try</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GEN.L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Genuit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GDWN.L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Goodwin</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GFTU.L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Grafton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HLMA.L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Halma</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HAS.L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Hays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HILS.L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Hill &amp; Smith</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IMI.L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IMI</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IAG.L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Intl Consolidated Airlines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ITRK.L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Intertek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FSJ.L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James Fisher and Sons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JSG.L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Johnson Service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KLR.L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Keller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KIE.L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Kier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LUCE.L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Luceco</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MEGP.L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ME Group International</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MRO.L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Melrose Industries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MTO.L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Mitie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MCG.L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Mobico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MGAM.L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Morgan Advanced Materials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MGNS.L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Morgan Sindall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NXR.L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Norcros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PAGE.L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PageGroup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PRV.L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Porvair</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QQ.L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QinetiQ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REL.L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RELX</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RTO.L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Rentokil Initial</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RHIM.L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RHI Magnesita</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RWA.L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Robert Walters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Rolls-Royce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ROR.L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Rotork</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RS1.L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RS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SNR.L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Senior</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SRP.L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Serco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SFR.L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Severfield</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SHI.L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SIG</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SMIN.L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Smiths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SDY.L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Speedy Hire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SPX.L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Spirax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STEM.L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SThree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TMIP.L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Taylor Maritime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WEIR.L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The Weir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TPK.L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Travis Perkins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TRI.L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Trifast</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FAN.L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Volution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VP.L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Vp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WIZZ.L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Wizz Air</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XPP.L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XP Power</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ZIG.L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Zigup</w:t>
            </w:r>
          </w:p>
        </w:tc>
      </w:tr>
    </w:tbl>
    <w:p>
      <w:pPr>
        <w:spacing w:after="40"/>
      </w:pPr>
    </w:p>
    <w:p>
      <w:pPr>
        <w:pBdr>
          <w:bottom w:val="single" w:sz="6" w:space="1" w:color="F57C00"/>
        </w:pBdr>
        <w:spacing w:before="320" w:after="100"/>
      </w:pPr>
      <w:r>
        <w:rPr>
          <w:rFonts w:ascii="Calibri" w:hAnsi="Calibri"/>
          <w:b/>
          <w:color w:val="12142E"/>
          <w:sz w:val="24"/>
        </w:rPr>
        <w:t>Real Estate  (30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BYG.L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Big Yellow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BLND.L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British Land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CLI.L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CLS Holdings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DLN.L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Derwent London</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FOXT.L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Foxtons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GRI.L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Grainger</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GPE.L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Great Portland Estates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HMSO.L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Hammerson</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HWG.L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Harworth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HLCL.L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Helical</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BOOT.L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Henry Boot</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IWG.L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International Workplace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LAND.L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Land Securities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LMP.L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LondonMetric Property</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LSL.L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LSL Property Services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NRR.L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NewRiver REIT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PCA.L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Palace Capital</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PSDL.L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Phoenix Spree Deutschland</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PCTN.L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Picton Property Income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PHP.L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Primary Health Properties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RGL.L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Regional REIT</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SAFE.L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Safestore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SVS.L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Savills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SREI.L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Schroder Real Estate IT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SGRO.L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SEGRO</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SHC.L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Shaftesbury Capital</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SRE.L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Sirius Real Estate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SUPR.L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Supermarket Income REIT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UTG.L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Unite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WKP.L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Workspace Group</w:t>
            </w:r>
          </w:p>
        </w:tc>
      </w:tr>
    </w:tbl>
    <w:p>
      <w:pPr>
        <w:spacing w:after="40"/>
      </w:pPr>
    </w:p>
    <w:p>
      <w:pPr>
        <w:pBdr>
          <w:bottom w:val="single" w:sz="6" w:space="1" w:color="F57C00"/>
        </w:pBdr>
        <w:spacing w:before="320" w:after="100"/>
      </w:pPr>
      <w:r>
        <w:rPr>
          <w:rFonts w:ascii="Calibri" w:hAnsi="Calibri"/>
          <w:b/>
          <w:color w:val="12142E"/>
          <w:sz w:val="24"/>
        </w:rPr>
        <w:t>Technology  (23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ALFA.L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Alfa Financial Software</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APTD.L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Aptitude Software</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ATG.L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Auction Technology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BYIT.L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Bytes Technology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CCC.L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Computacenter</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DSCV.L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discoverIE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FDM.L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FDM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GBG.L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GB Group</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KNOS.L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Kainos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NCC.L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NCC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OXIG.L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Oxford Instruments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PAY.L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PayPoint</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PINE.L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Pinewood Technologies</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RPI.L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Raspberry Pi</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RSW.L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Renishaw</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RM.L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RM</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SCT.L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Softcat</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SGE.L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The Sage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TRST.L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Trustpilot Group</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TTG.L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TT Electronics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VID.L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Videndum</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EWG.L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W.A.G Payment Solutions</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XAR.L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Xaar</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r>
          </w:p>
        </w:tc>
      </w:tr>
    </w:tbl>
    <w:p>
      <w:pPr>
        <w:spacing w:after="40"/>
      </w:pPr>
    </w:p>
    <w:p>
      <w:pPr>
        <w:pBdr>
          <w:bottom w:val="single" w:sz="6" w:space="1" w:color="F57C00"/>
        </w:pBdr>
        <w:spacing w:before="320" w:after="100"/>
      </w:pPr>
      <w:r>
        <w:rPr>
          <w:rFonts w:ascii="Calibri" w:hAnsi="Calibri"/>
          <w:b/>
          <w:color w:val="12142E"/>
          <w:sz w:val="24"/>
        </w:rPr>
        <w:t>Utilities  (10 companies)</w:t>
      </w:r>
    </w:p>
    <w:tbl>
      <w:tblPr>
        <w:tblW w:type="auto" w:w="0"/>
        <w:jc w:val="left"/>
        <w:tblLook w:firstColumn="1" w:firstRow="1" w:lastColumn="0" w:lastRow="0" w:noHBand="0" w:noVBand="1" w:val="04A0"/>
        <w:tblBorders>
          <w:top w:val="single" w:sz="2" w:space="0" w:color="DDDDEE"/>
          <w:left w:val="single" w:sz="2" w:space="0" w:color="DDDDEE"/>
          <w:bottom w:val="single" w:sz="2" w:space="0" w:color="DDDDEE"/>
          <w:right w:val="single" w:sz="2" w:space="0" w:color="DDDDEE"/>
          <w:insideH w:val="single" w:sz="2" w:space="0" w:color="DDDDEE"/>
          <w:insideV w:val="single" w:sz="2" w:space="0" w:color="DDDDEE"/>
        </w:tblBorders>
      </w:tblPr>
      <w:tblGrid>
        <w:gridCol w:w="2354"/>
        <w:gridCol w:w="2354"/>
        <w:gridCol w:w="2354"/>
        <w:gridCol w:w="2354"/>
      </w:tblGrid>
      <w:tr>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c>
          <w:tcPr>
            <w:tcW w:type="dxa" w:w="1020"/>
            <w:shd w:val="clear" w:color="auto" w:fill="1E203E"/>
            <w:tcMar>
              <w:top w:w="70" w:type="dxa"/>
              <w:bottom w:w="70" w:type="dxa"/>
              <w:left w:w="100" w:type="dxa"/>
              <w:right w:w="100" w:type="dxa"/>
            </w:tcMar>
          </w:tcPr>
          <w:p>
            <w:pPr>
              <w:spacing w:before="0" w:after="0"/>
            </w:pPr>
            <w:r>
              <w:rPr>
                <w:rFonts w:ascii="Calibri" w:hAnsi="Calibri"/>
                <w:b/>
                <w:color w:val="F57C00"/>
                <w:sz w:val="17"/>
              </w:rPr>
              <w:t>Ticker</w:t>
            </w:r>
          </w:p>
        </w:tc>
        <w:tc>
          <w:tcPr>
            <w:tcW w:type="dxa" w:w="3515"/>
            <w:shd w:val="clear" w:color="auto" w:fill="1E203E"/>
            <w:tcMar>
              <w:top w:w="70" w:type="dxa"/>
              <w:bottom w:w="70" w:type="dxa"/>
              <w:left w:w="100" w:type="dxa"/>
              <w:right w:w="100" w:type="dxa"/>
            </w:tcMar>
          </w:tcPr>
          <w:p>
            <w:pPr>
              <w:spacing w:before="0" w:after="0"/>
            </w:pPr>
            <w:r>
              <w:rPr>
                <w:rFonts w:ascii="Calibri" w:hAnsi="Calibri"/>
                <w:b/>
                <w:color w:val="F57C00"/>
                <w:sz w:val="17"/>
              </w:rPr>
              <w:t>Company</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CNA.L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Centrica</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DRX.L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Drax Group</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MTLN.L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Metlen Energy &amp; Metals</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NG.L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National Grid</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PNN.L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Pennon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SVT.L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Severn Trent</w:t>
            </w:r>
          </w:p>
        </w:tc>
      </w:tr>
      <w:tr>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SSE.L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SSE</w:t>
            </w:r>
          </w:p>
        </w:tc>
        <w:tc>
          <w:tcPr>
            <w:tcW w:type="dxa" w:w="1020"/>
            <w:shd w:val="clear" w:color="auto" w:fill="FFFFFF"/>
            <w:tcMar>
              <w:top w:w="60" w:type="dxa"/>
              <w:bottom w:w="60" w:type="dxa"/>
              <w:left w:w="100" w:type="dxa"/>
              <w:right w:w="100" w:type="dxa"/>
            </w:tcMar>
          </w:tcPr>
          <w:p>
            <w:pPr>
              <w:spacing w:before="0" w:after="0"/>
            </w:pPr>
            <w:r>
              <w:rPr>
                <w:rFonts w:ascii="Calibri" w:hAnsi="Calibri"/>
                <w:b/>
                <w:color w:val="12142E"/>
                <w:sz w:val="17"/>
              </w:rPr>
              <w:t>TEP.L</w:t>
            </w:r>
          </w:p>
        </w:tc>
        <w:tc>
          <w:tcPr>
            <w:tcW w:type="dxa" w:w="3515"/>
            <w:shd w:val="clear" w:color="auto" w:fill="FFFFFF"/>
            <w:tcMar>
              <w:top w:w="60" w:type="dxa"/>
              <w:bottom w:w="60" w:type="dxa"/>
              <w:left w:w="100" w:type="dxa"/>
              <w:right w:w="100" w:type="dxa"/>
            </w:tcMar>
          </w:tcPr>
          <w:p>
            <w:pPr>
              <w:spacing w:before="0" w:after="0"/>
            </w:pPr>
            <w:r>
              <w:rPr>
                <w:rFonts w:ascii="Calibri" w:hAnsi="Calibri"/>
                <w:color w:val="222233"/>
                <w:sz w:val="17"/>
              </w:rPr>
              <w:t>Telecom Plus</w:t>
            </w:r>
          </w:p>
        </w:tc>
      </w:tr>
      <w:tr>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TRIG.L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The Renewables Infrastructure Group</w:t>
            </w:r>
          </w:p>
        </w:tc>
        <w:tc>
          <w:tcPr>
            <w:tcW w:type="dxa" w:w="1020"/>
            <w:shd w:val="clear" w:color="auto" w:fill="F5F5FA"/>
            <w:tcMar>
              <w:top w:w="60" w:type="dxa"/>
              <w:bottom w:w="60" w:type="dxa"/>
              <w:left w:w="100" w:type="dxa"/>
              <w:right w:w="100" w:type="dxa"/>
            </w:tcMar>
          </w:tcPr>
          <w:p>
            <w:pPr>
              <w:spacing w:before="0" w:after="0"/>
            </w:pPr>
            <w:r>
              <w:rPr>
                <w:rFonts w:ascii="Calibri" w:hAnsi="Calibri"/>
                <w:b/>
                <w:color w:val="12142E"/>
                <w:sz w:val="17"/>
              </w:rPr>
              <w:t>UU.L</w:t>
            </w:r>
          </w:p>
        </w:tc>
        <w:tc>
          <w:tcPr>
            <w:tcW w:type="dxa" w:w="3515"/>
            <w:shd w:val="clear" w:color="auto" w:fill="F5F5FA"/>
            <w:tcMar>
              <w:top w:w="60" w:type="dxa"/>
              <w:bottom w:w="60" w:type="dxa"/>
              <w:left w:w="100" w:type="dxa"/>
              <w:right w:w="100" w:type="dxa"/>
            </w:tcMar>
          </w:tcPr>
          <w:p>
            <w:pPr>
              <w:spacing w:before="0" w:after="0"/>
            </w:pPr>
            <w:r>
              <w:rPr>
                <w:rFonts w:ascii="Calibri" w:hAnsi="Calibri"/>
                <w:color w:val="222233"/>
                <w:sz w:val="17"/>
              </w:rPr>
              <w:t>United Utilities</w:t>
            </w:r>
          </w:p>
        </w:tc>
      </w:tr>
    </w:tbl>
    <w:p>
      <w:pPr>
        <w:spacing w:after="40"/>
      </w:pPr>
    </w:p>
    <w:sectPr w:rsidR="00FC693F" w:rsidRPr="0006063C" w:rsidSect="00034616">
      <w:pgSz w:w="11909" w:h="16834"/>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