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029200" cy="5029200"/>
                    </a:xfrm>
                    <a:prstGeom prst="rect"/>
                  </pic:spPr>
                </pic:pic>
              </a:graphicData>
            </a:graphic>
          </wp:inline>
        </w:drawing>
      </w:r>
    </w:p>
    <w:p>
      <w:pPr>
        <w:pStyle w:val="Heading1"/>
      </w:pPr>
      <w:bookmarkStart w:id="0" w:name="mh0"/>
      <w:r>
        <w:t>Alpha Move AI — UK Stock Screener — User Manual</w:t>
      </w:r>
      <w:bookmarkEnd w:id="0"/>
    </w:p>
    <w:p>
      <w:r>
        <w:rPr>
          <w:b/>
        </w:rPr>
        <w:t>Edition:</w:t>
      </w:r>
      <w:r>
        <w:t xml:space="preserve"> June 2026 </w:t>
      </w:r>
      <w:r>
        <w:rPr>
          <w:b/>
        </w:rPr>
        <w:t>Audience:</w:t>
      </w:r>
      <w:r>
        <w:t xml:space="preserve"> Investors new to financial analysis </w:t>
      </w:r>
      <w:r>
        <w:rPr>
          <w:b/>
        </w:rPr>
        <w:t>Purpose:</w:t>
      </w:r>
      <w:r>
        <w:t xml:space="preserve"> A plain-English guide to understanding what you are seeing and how to use these tools to find UK companies with the </w:t>
      </w:r>
      <w:r>
        <w:rPr>
          <w:b/>
        </w:rPr>
        <w:t>greatest chance of upside</w:t>
      </w:r>
      <w:r>
        <w:t xml:space="preserve"> and the </w:t>
      </w:r>
      <w:r>
        <w:rPr>
          <w:b/>
        </w:rPr>
        <w:t>smallest downside risk</w:t>
      </w:r>
      <w:r>
        <w:t>.</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About the "Under the hood" boxes:</w:t>
            </w:r>
            <w:r>
              <w:t xml:space="preserve"> Throughout this manual, every score is explained twice — first in plain English with a worked example, then in a boxed </w:t>
            </w:r>
            <w:r>
              <w:rPr>
                <w:b/>
              </w:rPr>
              <w:t>"Under the hood"</w:t>
            </w:r>
            <w:r>
              <w:t xml:space="preserve"> note giving the exact formula, weights and thresholds the app uses. If you only want to </w:t>
            </w:r>
            <w:r>
              <w:rPr>
                <w:i/>
              </w:rPr>
              <w:t>use</w:t>
            </w:r>
            <w:r>
              <w:t xml:space="preserve"> the tool, read the plain-English part and skip the boxes. If you want to know precisely how a number was produced, the boxes have it.</w:t>
            </w:r>
          </w:p>
        </w:tc>
      </w:tr>
    </w:tbl>
    <w:p>
      <w:pPr>
        <w:pBdr>
          <w:bottom w:val="single" w:sz="6" w:space="1" w:color="CCCCCC"/>
        </w:pBdr>
      </w:pPr>
    </w:p>
    <w:p>
      <w:r>
        <w:br w:type="page"/>
      </w:r>
    </w:p>
    <w:p>
      <w:pPr>
        <w:pStyle w:val="Heading1"/>
      </w:pPr>
      <w:r>
        <w:t>Table of Contents</w:t>
      </w:r>
    </w:p>
    <w:p>
      <w:pPr>
        <w:spacing w:after="40"/>
        <w:ind w:left="360"/>
      </w:pPr>
      <w:hyperlink w:anchor="mh1">
        <w:r>
          <w:rPr>
            <w:color w:val="0563C1"/>
            <w:u w:val="single"/>
          </w:rPr>
          <w:t xml:space="preserve">1. Introduction</w:t>
        </w:r>
      </w:hyperlink>
    </w:p>
    <w:p>
      <w:pPr>
        <w:spacing w:after="40"/>
        <w:ind w:left="720"/>
      </w:pPr>
      <w:hyperlink w:anchor="mh2">
        <w:r>
          <w:rPr>
            <w:color w:val="0563C1"/>
            <w:u w:val="single"/>
          </w:rPr>
          <w:t xml:space="preserve">What Is a Stock Screener?</w:t>
        </w:r>
      </w:hyperlink>
    </w:p>
    <w:p>
      <w:pPr>
        <w:spacing w:after="40"/>
        <w:ind w:left="720"/>
      </w:pPr>
      <w:hyperlink w:anchor="mh3">
        <w:r>
          <w:rPr>
            <w:color w:val="0563C1"/>
            <w:u w:val="single"/>
          </w:rPr>
          <w:t xml:space="preserve">The Investing Goal: Maximum Upside, Minimum Downside</w:t>
        </w:r>
      </w:hyperlink>
    </w:p>
    <w:p>
      <w:pPr>
        <w:spacing w:after="40"/>
        <w:ind w:left="720"/>
      </w:pPr>
      <w:hyperlink w:anchor="mh4">
        <w:r>
          <w:rPr>
            <w:color w:val="0563C1"/>
            <w:u w:val="single"/>
          </w:rPr>
          <w:t xml:space="preserve">The Markets We Cover</w:t>
        </w:r>
      </w:hyperlink>
    </w:p>
    <w:p>
      <w:pPr>
        <w:spacing w:after="40"/>
        <w:ind w:left="360"/>
      </w:pPr>
      <w:hyperlink w:anchor="mh5">
        <w:r>
          <w:rPr>
            <w:color w:val="0563C1"/>
            <w:u w:val="single"/>
          </w:rPr>
          <w:t xml:space="preserve">2. Dashboard Layout</w:t>
        </w:r>
      </w:hyperlink>
    </w:p>
    <w:p>
      <w:pPr>
        <w:spacing w:after="40"/>
        <w:ind w:left="360"/>
      </w:pPr>
      <w:hyperlink w:anchor="mh6">
        <w:r>
          <w:rPr>
            <w:color w:val="0563C1"/>
            <w:u w:val="single"/>
          </w:rPr>
          <w:t xml:space="preserve">3. The Screener</w:t>
        </w:r>
      </w:hyperlink>
    </w:p>
    <w:p>
      <w:pPr>
        <w:spacing w:after="40"/>
        <w:ind w:left="720"/>
      </w:pPr>
      <w:hyperlink w:anchor="mh7">
        <w:r>
          <w:rPr>
            <w:color w:val="0563C1"/>
            <w:u w:val="single"/>
          </w:rPr>
          <w:t xml:space="preserve">3.1 Understanding the Columns</w:t>
        </w:r>
      </w:hyperlink>
    </w:p>
    <w:p>
      <w:pPr>
        <w:spacing w:after="40"/>
        <w:ind w:left="720"/>
      </w:pPr>
      <w:hyperlink w:anchor="mh10">
        <w:r>
          <w:rPr>
            <w:color w:val="0563C1"/>
            <w:u w:val="single"/>
          </w:rPr>
          <w:t xml:space="preserve">3.2 The Four Scores Explained</w:t>
        </w:r>
      </w:hyperlink>
    </w:p>
    <w:p>
      <w:pPr>
        <w:spacing w:after="40"/>
        <w:ind w:left="720"/>
      </w:pPr>
      <w:hyperlink w:anchor="mh15">
        <w:r>
          <w:rPr>
            <w:color w:val="0563C1"/>
            <w:u w:val="single"/>
          </w:rPr>
          <w:t xml:space="preserve">3.3 Using the Filters</w:t>
        </w:r>
      </w:hyperlink>
    </w:p>
    <w:p>
      <w:pPr>
        <w:spacing w:after="40"/>
        <w:ind w:left="720"/>
      </w:pPr>
      <w:hyperlink w:anchor="mh19">
        <w:r>
          <w:rPr>
            <w:color w:val="0563C1"/>
            <w:u w:val="single"/>
          </w:rPr>
          <w:t xml:space="preserve">3.4 Analyst View</w:t>
        </w:r>
      </w:hyperlink>
    </w:p>
    <w:p>
      <w:pPr>
        <w:spacing w:after="40"/>
        <w:ind w:left="720"/>
      </w:pPr>
      <w:hyperlink w:anchor="mh20">
        <w:r>
          <w:rPr>
            <w:color w:val="0563C1"/>
            <w:u w:val="single"/>
          </w:rPr>
          <w:t xml:space="preserve">3.5 The PEGY Column</w:t>
        </w:r>
      </w:hyperlink>
    </w:p>
    <w:p>
      <w:pPr>
        <w:spacing w:after="40"/>
        <w:ind w:left="720"/>
      </w:pPr>
      <w:hyperlink w:anchor="mh21">
        <w:r>
          <w:rPr>
            <w:color w:val="0563C1"/>
            <w:u w:val="single"/>
          </w:rPr>
          <w:t xml:space="preserve">3.6 The Watchlist — Your Monitoring Dashboard</w:t>
        </w:r>
      </w:hyperlink>
    </w:p>
    <w:p>
      <w:pPr>
        <w:spacing w:after="40"/>
        <w:ind w:left="720"/>
      </w:pPr>
      <w:hyperlink w:anchor="mh22">
        <w:r>
          <w:rPr>
            <w:color w:val="0563C1"/>
            <w:u w:val="single"/>
          </w:rPr>
          <w:t xml:space="preserve">3.7 Excluding Sectors</w:t>
        </w:r>
      </w:hyperlink>
    </w:p>
    <w:p>
      <w:pPr>
        <w:spacing w:after="40"/>
        <w:ind w:left="360"/>
      </w:pPr>
      <w:hyperlink w:anchor="mh23">
        <w:r>
          <w:rPr>
            <w:color w:val="0563C1"/>
            <w:u w:val="single"/>
          </w:rPr>
          <w:t xml:space="preserve">4. Company Detail</w:t>
        </w:r>
      </w:hyperlink>
    </w:p>
    <w:p>
      <w:pPr>
        <w:spacing w:after="40"/>
        <w:ind w:left="720"/>
      </w:pPr>
      <w:hyperlink w:anchor="mh24">
        <w:r>
          <w:rPr>
            <w:color w:val="0563C1"/>
            <w:u w:val="single"/>
          </w:rPr>
          <w:t xml:space="preserve">4.1 Chart Tab</w:t>
        </w:r>
      </w:hyperlink>
    </w:p>
    <w:p>
      <w:pPr>
        <w:spacing w:after="40"/>
        <w:ind w:left="720"/>
      </w:pPr>
      <w:hyperlink w:anchor="mh25">
        <w:r>
          <w:rPr>
            <w:color w:val="0563C1"/>
            <w:u w:val="single"/>
          </w:rPr>
          <w:t xml:space="preserve">4.2 Overview Tab</w:t>
        </w:r>
      </w:hyperlink>
    </w:p>
    <w:p>
      <w:pPr>
        <w:spacing w:after="40"/>
        <w:ind w:left="720"/>
      </w:pPr>
      <w:hyperlink w:anchor="mh26">
        <w:r>
          <w:rPr>
            <w:color w:val="0563C1"/>
            <w:u w:val="single"/>
          </w:rPr>
          <w:t xml:space="preserve">4.3 Financials Tab</w:t>
        </w:r>
      </w:hyperlink>
    </w:p>
    <w:p>
      <w:pPr>
        <w:spacing w:after="40"/>
        <w:ind w:left="720"/>
      </w:pPr>
      <w:hyperlink w:anchor="mh27">
        <w:r>
          <w:rPr>
            <w:color w:val="0563C1"/>
            <w:u w:val="single"/>
          </w:rPr>
          <w:t xml:space="preserve">4.4 Valuation Tab</w:t>
        </w:r>
      </w:hyperlink>
    </w:p>
    <w:p>
      <w:pPr>
        <w:spacing w:after="40"/>
        <w:ind w:left="720"/>
      </w:pPr>
      <w:hyperlink w:anchor="mh28">
        <w:r>
          <w:rPr>
            <w:color w:val="0563C1"/>
            <w:u w:val="single"/>
          </w:rPr>
          <w:t xml:space="preserve">4.5 Health Tab</w:t>
        </w:r>
      </w:hyperlink>
    </w:p>
    <w:p>
      <w:pPr>
        <w:spacing w:after="40"/>
        <w:ind w:left="720"/>
      </w:pPr>
      <w:hyperlink w:anchor="mh29">
        <w:r>
          <w:rPr>
            <w:color w:val="0563C1"/>
            <w:u w:val="single"/>
          </w:rPr>
          <w:t xml:space="preserve">4.6 Growth Tab</w:t>
        </w:r>
      </w:hyperlink>
    </w:p>
    <w:p>
      <w:pPr>
        <w:spacing w:after="40"/>
        <w:ind w:left="720"/>
      </w:pPr>
      <w:hyperlink w:anchor="mh30">
        <w:r>
          <w:rPr>
            <w:color w:val="0563C1"/>
            <w:u w:val="single"/>
          </w:rPr>
          <w:t xml:space="preserve">4.7 Analysts Tab</w:t>
        </w:r>
      </w:hyperlink>
    </w:p>
    <w:p>
      <w:pPr>
        <w:spacing w:after="40"/>
        <w:ind w:left="720"/>
      </w:pPr>
      <w:hyperlink w:anchor="mh31">
        <w:r>
          <w:rPr>
            <w:color w:val="0563C1"/>
            <w:u w:val="single"/>
          </w:rPr>
          <w:t xml:space="preserve">4.8 Company News Tab — Press, RNS &amp; AI Summary</w:t>
        </w:r>
      </w:hyperlink>
    </w:p>
    <w:p>
      <w:pPr>
        <w:spacing w:after="40"/>
        <w:ind w:left="360"/>
      </w:pPr>
      <w:hyperlink w:anchor="mh32">
        <w:r>
          <w:rPr>
            <w:color w:val="0563C1"/>
            <w:u w:val="single"/>
          </w:rPr>
          <w:t xml:space="preserve">5. Sector Analysis</w:t>
        </w:r>
      </w:hyperlink>
    </w:p>
    <w:p>
      <w:pPr>
        <w:spacing w:after="40"/>
        <w:ind w:left="720"/>
      </w:pPr>
      <w:hyperlink w:anchor="mh33">
        <w:r>
          <w:rPr>
            <w:color w:val="0563C1"/>
            <w:u w:val="single"/>
          </w:rPr>
          <w:t xml:space="preserve">5.1 Sector Rotation</w:t>
        </w:r>
      </w:hyperlink>
    </w:p>
    <w:p>
      <w:pPr>
        <w:spacing w:after="40"/>
        <w:ind w:left="720"/>
      </w:pPr>
      <w:hyperlink w:anchor="mh34">
        <w:r>
          <w:rPr>
            <w:color w:val="0563C1"/>
            <w:u w:val="single"/>
          </w:rPr>
          <w:t xml:space="preserve">5.2 Market Breadth</w:t>
        </w:r>
      </w:hyperlink>
    </w:p>
    <w:p>
      <w:pPr>
        <w:spacing w:after="40"/>
        <w:ind w:left="720"/>
      </w:pPr>
      <w:hyperlink w:anchor="mh35">
        <w:r>
          <w:rPr>
            <w:color w:val="0563C1"/>
            <w:u w:val="single"/>
          </w:rPr>
          <w:t xml:space="preserve">5.3 Sector Heatmap (Treemap)</w:t>
        </w:r>
      </w:hyperlink>
    </w:p>
    <w:p>
      <w:pPr>
        <w:spacing w:after="40"/>
        <w:ind w:left="360"/>
      </w:pPr>
      <w:hyperlink w:anchor="mh36">
        <w:r>
          <w:rPr>
            <w:color w:val="0563C1"/>
            <w:u w:val="single"/>
          </w:rPr>
          <w:t xml:space="preserve">6. Markets</w:t>
        </w:r>
      </w:hyperlink>
    </w:p>
    <w:p>
      <w:pPr>
        <w:spacing w:after="40"/>
        <w:ind w:left="720"/>
      </w:pPr>
      <w:hyperlink w:anchor="mh37">
        <w:r>
          <w:rPr>
            <w:color w:val="0563C1"/>
            <w:u w:val="single"/>
          </w:rPr>
          <w:t xml:space="preserve">6.1 Fear &amp; Greed Index</w:t>
        </w:r>
      </w:hyperlink>
    </w:p>
    <w:p>
      <w:pPr>
        <w:spacing w:after="40"/>
        <w:ind w:left="720"/>
      </w:pPr>
      <w:hyperlink w:anchor="mh38">
        <w:r>
          <w:rPr>
            <w:color w:val="0563C1"/>
            <w:u w:val="single"/>
          </w:rPr>
          <w:t xml:space="preserve">6.2 Cross-Asset Monitor</w:t>
        </w:r>
      </w:hyperlink>
    </w:p>
    <w:p>
      <w:pPr>
        <w:spacing w:after="40"/>
        <w:ind w:left="720"/>
      </w:pPr>
      <w:hyperlink w:anchor="mh39">
        <w:r>
          <w:rPr>
            <w:color w:val="0563C1"/>
            <w:u w:val="single"/>
          </w:rPr>
          <w:t xml:space="preserve">6.3 Gilt Yields</w:t>
        </w:r>
      </w:hyperlink>
    </w:p>
    <w:p>
      <w:pPr>
        <w:spacing w:after="40"/>
        <w:ind w:left="360"/>
      </w:pPr>
      <w:hyperlink w:anchor="mh40">
        <w:r>
          <w:rPr>
            <w:color w:val="0563C1"/>
            <w:u w:val="single"/>
          </w:rPr>
          <w:t xml:space="preserve">7. Analyst Monitor</w:t>
        </w:r>
      </w:hyperlink>
    </w:p>
    <w:p>
      <w:pPr>
        <w:spacing w:after="40"/>
        <w:ind w:left="360"/>
      </w:pPr>
      <w:hyperlink w:anchor="mh41">
        <w:r>
          <w:rPr>
            <w:color w:val="0563C1"/>
            <w:u w:val="single"/>
          </w:rPr>
          <w:t xml:space="preserve">8. RNS News Screener</w:t>
        </w:r>
      </w:hyperlink>
    </w:p>
    <w:p>
      <w:pPr>
        <w:spacing w:after="40"/>
        <w:ind w:left="720"/>
      </w:pPr>
      <w:hyperlink w:anchor="mh42">
        <w:r>
          <w:rPr>
            <w:color w:val="0563C1"/>
            <w:u w:val="single"/>
          </w:rPr>
          <w:t xml:space="preserve">8.1 What is RNS?</w:t>
        </w:r>
      </w:hyperlink>
    </w:p>
    <w:p>
      <w:pPr>
        <w:spacing w:after="40"/>
        <w:ind w:left="720"/>
      </w:pPr>
      <w:hyperlink w:anchor="mh43">
        <w:r>
          <w:rPr>
            <w:color w:val="0563C1"/>
            <w:u w:val="single"/>
          </w:rPr>
          <w:t xml:space="preserve">8.2 The Two-Layer Pipeline</w:t>
        </w:r>
      </w:hyperlink>
    </w:p>
    <w:p>
      <w:pPr>
        <w:spacing w:after="40"/>
        <w:ind w:left="720"/>
      </w:pPr>
      <w:hyperlink w:anchor="mh45">
        <w:r>
          <w:rPr>
            <w:color w:val="0563C1"/>
            <w:u w:val="single"/>
          </w:rPr>
          <w:t xml:space="preserve">8.3 Reading the Feed</w:t>
        </w:r>
      </w:hyperlink>
    </w:p>
    <w:p>
      <w:pPr>
        <w:spacing w:after="40"/>
        <w:ind w:left="720"/>
      </w:pPr>
      <w:hyperlink w:anchor="mh46">
        <w:r>
          <w:rPr>
            <w:color w:val="0563C1"/>
            <w:u w:val="single"/>
          </w:rPr>
          <w:t xml:space="preserve">8.4 Action Pills</w:t>
        </w:r>
      </w:hyperlink>
    </w:p>
    <w:p>
      <w:pPr>
        <w:spacing w:after="40"/>
        <w:ind w:left="360"/>
      </w:pPr>
      <w:hyperlink w:anchor="mh49">
        <w:r>
          <w:rPr>
            <w:color w:val="0563C1"/>
            <w:u w:val="single"/>
          </w:rPr>
          <w:t xml:space="preserve">9. Trending — Risers and Fallers</w:t>
        </w:r>
      </w:hyperlink>
    </w:p>
    <w:p>
      <w:pPr>
        <w:spacing w:after="40"/>
        <w:ind w:left="360"/>
      </w:pPr>
      <w:hyperlink w:anchor="mh50">
        <w:r>
          <w:rPr>
            <w:color w:val="0563C1"/>
            <w:u w:val="single"/>
          </w:rPr>
          <w:t xml:space="preserve">10. The Sidebar — Your Instant Dashboard</w:t>
        </w:r>
      </w:hyperlink>
    </w:p>
    <w:p>
      <w:pPr>
        <w:spacing w:after="40"/>
        <w:ind w:left="360"/>
      </w:pPr>
      <w:hyperlink w:anchor="mh51">
        <w:r>
          <w:rPr>
            <w:color w:val="0563C1"/>
            <w:u w:val="single"/>
          </w:rPr>
          <w:t xml:space="preserve">11. How To Find Investment Leads — Step-by-Step Workflows</w:t>
        </w:r>
      </w:hyperlink>
    </w:p>
    <w:p>
      <w:pPr>
        <w:spacing w:after="40"/>
        <w:ind w:left="720"/>
      </w:pPr>
      <w:hyperlink w:anchor="mh52">
        <w:r>
          <w:rPr>
            <w:color w:val="0563C1"/>
            <w:u w:val="single"/>
          </w:rPr>
          <w:t xml:space="preserve">11.1 The Quality + Value Filter</w:t>
        </w:r>
      </w:hyperlink>
    </w:p>
    <w:p>
      <w:pPr>
        <w:spacing w:after="40"/>
        <w:ind w:left="720"/>
      </w:pPr>
      <w:hyperlink w:anchor="mh53">
        <w:r>
          <w:rPr>
            <w:color w:val="0563C1"/>
            <w:u w:val="single"/>
          </w:rPr>
          <w:t xml:space="preserve">11.2 The Momentum Trend-Following Approach</w:t>
        </w:r>
      </w:hyperlink>
    </w:p>
    <w:p>
      <w:pPr>
        <w:spacing w:after="40"/>
        <w:ind w:left="720"/>
      </w:pPr>
      <w:hyperlink w:anchor="mh54">
        <w:r>
          <w:rPr>
            <w:color w:val="0563C1"/>
            <w:u w:val="single"/>
          </w:rPr>
          <w:t xml:space="preserve">11.3 The Analyst Upgrade Hunt</w:t>
        </w:r>
      </w:hyperlink>
    </w:p>
    <w:p>
      <w:pPr>
        <w:spacing w:after="40"/>
        <w:ind w:left="720"/>
      </w:pPr>
      <w:hyperlink w:anchor="mh55">
        <w:r>
          <w:rPr>
            <w:color w:val="0563C1"/>
            <w:u w:val="single"/>
          </w:rPr>
          <w:t xml:space="preserve">11.4 The Sector Rotation Strategy</w:t>
        </w:r>
      </w:hyperlink>
    </w:p>
    <w:p>
      <w:pPr>
        <w:spacing w:after="40"/>
        <w:ind w:left="720"/>
      </w:pPr>
      <w:hyperlink w:anchor="mh56">
        <w:r>
          <w:rPr>
            <w:color w:val="0563C1"/>
            <w:u w:val="single"/>
          </w:rPr>
          <w:t xml:space="preserve">11.5 The Defensive Screen (Capital Preservation)</w:t>
        </w:r>
      </w:hyperlink>
    </w:p>
    <w:p>
      <w:pPr>
        <w:spacing w:after="40"/>
        <w:ind w:left="720"/>
      </w:pPr>
      <w:hyperlink w:anchor="mh57">
        <w:r>
          <w:rPr>
            <w:color w:val="0563C1"/>
            <w:u w:val="single"/>
          </w:rPr>
          <w:t xml:space="preserve">11.6 The Catalyst Hunt — RNS-Driven Upside</w:t>
        </w:r>
      </w:hyperlink>
    </w:p>
    <w:p>
      <w:pPr>
        <w:spacing w:after="40"/>
        <w:ind w:left="720"/>
      </w:pPr>
      <w:hyperlink w:anchor="mh58">
        <w:r>
          <w:rPr>
            <w:color w:val="0563C1"/>
            <w:u w:val="single"/>
          </w:rPr>
          <w:t xml:space="preserve">11.7 The Cheap-Quality Hunt</w:t>
        </w:r>
      </w:hyperlink>
    </w:p>
    <w:p>
      <w:pPr>
        <w:spacing w:after="40"/>
        <w:ind w:left="720"/>
      </w:pPr>
      <w:hyperlink w:anchor="mh59">
        <w:r>
          <w:rPr>
            <w:color w:val="0563C1"/>
            <w:u w:val="single"/>
          </w:rPr>
          <w:t xml:space="preserve">11.8 The Combined "Maximum Upside / Minimum Downside" Workflow</w:t>
        </w:r>
      </w:hyperlink>
    </w:p>
    <w:p>
      <w:pPr>
        <w:spacing w:after="40"/>
        <w:ind w:left="360"/>
      </w:pPr>
      <w:hyperlink w:anchor="mh60">
        <w:r>
          <w:rPr>
            <w:color w:val="0563C1"/>
            <w:u w:val="single"/>
          </w:rPr>
          <w:t xml:space="preserve">12. Glossary of Financial Terms</w:t>
        </w:r>
      </w:hyperlink>
    </w:p>
    <w:p>
      <w:pPr>
        <w:spacing w:after="40"/>
        <w:ind w:left="360"/>
      </w:pPr>
      <w:hyperlink w:anchor="mh61">
        <w:r>
          <w:rPr>
            <w:color w:val="0563C1"/>
            <w:u w:val="single"/>
          </w:rPr>
          <w:t xml:space="preserve">Appendix A — Methodology References</w:t>
        </w:r>
      </w:hyperlink>
    </w:p>
    <w:p>
      <w:pPr>
        <w:spacing w:after="40"/>
        <w:ind w:left="720"/>
      </w:pPr>
      <w:hyperlink w:anchor="mh62">
        <w:r>
          <w:rPr>
            <w:color w:val="0563C1"/>
            <w:u w:val="single"/>
          </w:rPr>
          <w:t xml:space="preserve">Price Momentum</w:t>
        </w:r>
      </w:hyperlink>
    </w:p>
    <w:p>
      <w:pPr>
        <w:spacing w:after="40"/>
        <w:ind w:left="720"/>
      </w:pPr>
      <w:hyperlink w:anchor="mh63">
        <w:r>
          <w:rPr>
            <w:color w:val="0563C1"/>
            <w:u w:val="single"/>
          </w:rPr>
          <w:t xml:space="preserve">Piotroski F-Score</w:t>
        </w:r>
      </w:hyperlink>
    </w:p>
    <w:p>
      <w:pPr>
        <w:spacing w:after="40"/>
        <w:ind w:left="720"/>
      </w:pPr>
      <w:hyperlink w:anchor="mh64">
        <w:r>
          <w:rPr>
            <w:color w:val="0563C1"/>
            <w:u w:val="single"/>
          </w:rPr>
          <w:t xml:space="preserve">Altman Z-Score</w:t>
        </w:r>
      </w:hyperlink>
    </w:p>
    <w:p>
      <w:pPr>
        <w:spacing w:after="40"/>
        <w:ind w:left="720"/>
      </w:pPr>
      <w:hyperlink w:anchor="mh65">
        <w:r>
          <w:rPr>
            <w:color w:val="0563C1"/>
            <w:u w:val="single"/>
          </w:rPr>
          <w:t xml:space="preserve">Quality / Return-Based Investing</w:t>
        </w:r>
      </w:hyperlink>
    </w:p>
    <w:p>
      <w:pPr>
        <w:spacing w:after="40"/>
        <w:ind w:left="720"/>
      </w:pPr>
      <w:hyperlink w:anchor="mh66">
        <w:r>
          <w:rPr>
            <w:color w:val="0563C1"/>
            <w:u w:val="single"/>
          </w:rPr>
          <w:t xml:space="preserve">Sector Rotation and the Economic Cycle</w:t>
        </w:r>
      </w:hyperlink>
    </w:p>
    <w:p>
      <w:pPr>
        <w:spacing w:after="40"/>
        <w:ind w:left="720"/>
      </w:pPr>
      <w:hyperlink w:anchor="mh67">
        <w:r>
          <w:rPr>
            <w:color w:val="0563C1"/>
            <w:u w:val="single"/>
          </w:rPr>
          <w:t xml:space="preserve">Fear &amp; Greed / Sentiment Indicators</w:t>
        </w:r>
      </w:hyperlink>
    </w:p>
    <w:p>
      <w:pPr>
        <w:spacing w:after="40"/>
        <w:ind w:left="360"/>
      </w:pPr>
      <w:hyperlink w:anchor="mh68">
        <w:r>
          <w:rPr>
            <w:color w:val="0563C1"/>
            <w:u w:val="single"/>
          </w:rPr>
          <w:t xml:space="preserve">Appendix B — ICB Sector Company List</w:t>
        </w:r>
      </w:hyperlink>
    </w:p>
    <w:p>
      <w:pPr>
        <w:spacing w:after="40"/>
        <w:ind w:left="720"/>
      </w:pPr>
      <w:hyperlink w:anchor="mh69">
        <w:r>
          <w:rPr>
            <w:color w:val="0563C1"/>
            <w:u w:val="single"/>
          </w:rPr>
          <w:t xml:space="preserve">Energy</w:t>
        </w:r>
      </w:hyperlink>
    </w:p>
    <w:p>
      <w:pPr>
        <w:spacing w:after="40"/>
        <w:ind w:left="720"/>
      </w:pPr>
      <w:hyperlink w:anchor="mh70">
        <w:r>
          <w:rPr>
            <w:color w:val="0563C1"/>
            <w:u w:val="single"/>
          </w:rPr>
          <w:t xml:space="preserve">Financials</w:t>
        </w:r>
      </w:hyperlink>
    </w:p>
    <w:p>
      <w:pPr>
        <w:spacing w:after="40"/>
        <w:ind w:left="720"/>
      </w:pPr>
      <w:hyperlink w:anchor="mh71">
        <w:r>
          <w:rPr>
            <w:color w:val="0563C1"/>
            <w:u w:val="single"/>
          </w:rPr>
          <w:t xml:space="preserve">Industrials</w:t>
        </w:r>
      </w:hyperlink>
    </w:p>
    <w:p>
      <w:pPr>
        <w:spacing w:after="40"/>
        <w:ind w:left="720"/>
      </w:pPr>
      <w:hyperlink w:anchor="mh72">
        <w:r>
          <w:rPr>
            <w:color w:val="0563C1"/>
            <w:u w:val="single"/>
          </w:rPr>
          <w:t xml:space="preserve">Materials</w:t>
        </w:r>
      </w:hyperlink>
    </w:p>
    <w:p>
      <w:pPr>
        <w:spacing w:after="40"/>
        <w:ind w:left="720"/>
      </w:pPr>
      <w:hyperlink w:anchor="mh73">
        <w:r>
          <w:rPr>
            <w:color w:val="0563C1"/>
            <w:u w:val="single"/>
          </w:rPr>
          <w:t xml:space="preserve">Consumer Discretionary</w:t>
        </w:r>
      </w:hyperlink>
    </w:p>
    <w:p>
      <w:pPr>
        <w:spacing w:after="40"/>
        <w:ind w:left="720"/>
      </w:pPr>
      <w:hyperlink w:anchor="mh74">
        <w:r>
          <w:rPr>
            <w:color w:val="0563C1"/>
            <w:u w:val="single"/>
          </w:rPr>
          <w:t xml:space="preserve">Consumer Staples</w:t>
        </w:r>
      </w:hyperlink>
    </w:p>
    <w:p>
      <w:pPr>
        <w:spacing w:after="40"/>
        <w:ind w:left="720"/>
      </w:pPr>
      <w:hyperlink w:anchor="mh75">
        <w:r>
          <w:rPr>
            <w:color w:val="0563C1"/>
            <w:u w:val="single"/>
          </w:rPr>
          <w:t xml:space="preserve">Health Care</w:t>
        </w:r>
      </w:hyperlink>
    </w:p>
    <w:p>
      <w:pPr>
        <w:spacing w:after="40"/>
        <w:ind w:left="720"/>
      </w:pPr>
      <w:hyperlink w:anchor="mh76">
        <w:r>
          <w:rPr>
            <w:color w:val="0563C1"/>
            <w:u w:val="single"/>
          </w:rPr>
          <w:t xml:space="preserve">Technology</w:t>
        </w:r>
      </w:hyperlink>
    </w:p>
    <w:p>
      <w:pPr>
        <w:spacing w:after="40"/>
        <w:ind w:left="720"/>
      </w:pPr>
      <w:hyperlink w:anchor="mh77">
        <w:r>
          <w:rPr>
            <w:color w:val="0563C1"/>
            <w:u w:val="single"/>
          </w:rPr>
          <w:t xml:space="preserve">Telecommunications</w:t>
        </w:r>
      </w:hyperlink>
    </w:p>
    <w:p>
      <w:pPr>
        <w:spacing w:after="40"/>
        <w:ind w:left="720"/>
      </w:pPr>
      <w:hyperlink w:anchor="mh78">
        <w:r>
          <w:rPr>
            <w:color w:val="0563C1"/>
            <w:u w:val="single"/>
          </w:rPr>
          <w:t xml:space="preserve">Utilities</w:t>
        </w:r>
      </w:hyperlink>
    </w:p>
    <w:p>
      <w:pPr>
        <w:spacing w:after="40"/>
        <w:ind w:left="720"/>
      </w:pPr>
      <w:hyperlink w:anchor="mh79">
        <w:r>
          <w:rPr>
            <w:color w:val="0563C1"/>
            <w:u w:val="single"/>
          </w:rPr>
          <w:t xml:space="preserve">Real Estate</w:t>
        </w:r>
      </w:hyperlink>
    </w:p>
    <w:p>
      <w:r>
        <w:br w:type="page"/>
      </w:r>
    </w:p>
    <w:p>
      <w:pPr>
        <w:pBdr>
          <w:bottom w:val="single" w:sz="6" w:space="1" w:color="CCCCCC"/>
        </w:pBdr>
      </w:pPr>
    </w:p>
    <w:p>
      <w:pPr>
        <w:pStyle w:val="Heading2"/>
      </w:pPr>
      <w:bookmarkStart w:id="1" w:name="mh1"/>
      <w:r>
        <w:t>1. Introduction</w:t>
      </w:r>
      <w:bookmarkEnd w:id="1"/>
    </w:p>
    <w:p>
      <w:pPr>
        <w:pStyle w:val="Heading3"/>
      </w:pPr>
      <w:bookmarkStart w:id="2" w:name="mh2"/>
      <w:r>
        <w:t>What Is a Stock Screener?</w:t>
      </w:r>
      <w:bookmarkEnd w:id="2"/>
    </w:p>
    <w:p>
      <w:r>
        <w:t xml:space="preserve">Investing in individual shares means choosing from thousands of publicly traded companies. Without a tool to filter and compare them, the task is overwhelming. A </w:t>
      </w:r>
      <w:r>
        <w:rPr>
          <w:b/>
        </w:rPr>
        <w:t>stock screener</w:t>
      </w:r>
      <w:r>
        <w:t xml:space="preserve"> lets you set criteria — like "show me only companies with low debt and strong profit growth" — and instantly narrows the universe down to a manageable shortlist.</w:t>
      </w:r>
    </w:p>
    <w:p>
      <w:r>
        <w:t>Alpha Move AI goes further than a basic screener. It calculates composite scores for quality, momentum, value and risk; tracks what professional analysts are saying; reads the official regulatory news feed and uses AI to flag market-moving announcements; and monitors the overall health of the UK market so you can time your decisions more intelligently.</w:t>
      </w:r>
    </w:p>
    <w:p>
      <w:pPr>
        <w:pStyle w:val="Heading3"/>
      </w:pPr>
      <w:bookmarkStart w:id="3" w:name="mh3"/>
      <w:r>
        <w:t>The Investing Goal: Maximum Upside, Minimum Downside</w:t>
      </w:r>
      <w:bookmarkEnd w:id="3"/>
    </w:p>
    <w:p>
      <w:r>
        <w:t>Every tool in this app is built around two questions every investor needs to answer:</w:t>
      </w:r>
    </w:p>
    <w:p>
      <w:pPr>
        <w:spacing w:after="40"/>
        <w:ind w:left="360"/>
      </w:pPr>
      <w:r>
        <w:t xml:space="preserve">1. </w:t>
      </w:r>
      <w:r>
        <w:rPr>
          <w:b/>
        </w:rPr>
        <w:t>Upside:</w:t>
      </w:r>
      <w:r>
        <w:t xml:space="preserve"> What is the realistic chance this share goes up, and by how much?</w:t>
      </w:r>
    </w:p>
    <w:p>
      <w:pPr>
        <w:spacing w:after="40"/>
        <w:ind w:left="360"/>
      </w:pPr>
      <w:r>
        <w:t xml:space="preserve">2. </w:t>
      </w:r>
      <w:r>
        <w:rPr>
          <w:b/>
        </w:rPr>
        <w:t>Downside:</w:t>
      </w:r>
      <w:r>
        <w:t xml:space="preserve"> If I am wrong, how badly could I lose?</w:t>
      </w:r>
    </w:p>
    <w:p>
      <w:r>
        <w:t xml:space="preserve">A great investment is one with </w:t>
      </w:r>
      <w:r>
        <w:rPr>
          <w:b/>
        </w:rPr>
        <w:t>asymmetric returns</w:t>
      </w:r>
      <w:r>
        <w:t xml:space="preserve"> — the upside is much larger than the downside. The features in this manual are designed to help you systematically find those opportunities, by combining four kinds of signals: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7ECF3"/>
          </w:tcPr>
          <w:p>
            <w:r>
              <w:rPr>
                <w:b/>
              </w:rPr>
            </w:r>
            <w:r>
              <w:rPr>
                <w:b/>
              </w:rPr>
            </w:r>
            <w:r>
              <w:rPr>
                <w:b/>
              </w:rPr>
              <w:t>Signal Type</w:t>
            </w:r>
          </w:p>
        </w:tc>
        <w:tc>
          <w:tcPr>
            <w:tcW w:type="dxa" w:w="2880"/>
            <w:shd w:val="clear" w:color="auto" w:fill="E7ECF3"/>
          </w:tcPr>
          <w:p>
            <w:r>
              <w:rPr>
                <w:b/>
              </w:rPr>
            </w:r>
            <w:r>
              <w:rPr>
                <w:b/>
              </w:rPr>
            </w:r>
            <w:r>
              <w:rPr>
                <w:b/>
              </w:rPr>
              <w:t>Tool to use</w:t>
            </w:r>
          </w:p>
        </w:tc>
        <w:tc>
          <w:tcPr>
            <w:tcW w:type="dxa" w:w="2880"/>
            <w:shd w:val="clear" w:color="auto" w:fill="E7ECF3"/>
          </w:tcPr>
          <w:p>
            <w:r>
              <w:rPr>
                <w:b/>
              </w:rPr>
            </w:r>
            <w:r>
              <w:rPr>
                <w:b/>
              </w:rPr>
            </w:r>
            <w:r>
              <w:rPr>
                <w:b/>
              </w:rPr>
              <w:t>What it tells you</w:t>
            </w:r>
          </w:p>
        </w:tc>
      </w:tr>
      <w:tr>
        <w:tc>
          <w:tcPr>
            <w:tcW w:type="dxa" w:w="2880"/>
          </w:tcPr>
          <w:p>
            <w:r/>
            <w:r>
              <w:rPr>
                <w:b/>
              </w:rPr>
              <w:t>Quality of the business</w:t>
            </w:r>
          </w:p>
        </w:tc>
        <w:tc>
          <w:tcPr>
            <w:tcW w:type="dxa" w:w="2880"/>
          </w:tcPr>
          <w:p>
            <w:r/>
            <w:r>
              <w:t>Quality Score, Piotroski, Health tab</w:t>
            </w:r>
          </w:p>
        </w:tc>
        <w:tc>
          <w:tcPr>
            <w:tcW w:type="dxa" w:w="2880"/>
          </w:tcPr>
          <w:p>
            <w:r/>
            <w:r>
              <w:t>Will this company still exist and thrive in 5 years?</w:t>
            </w:r>
          </w:p>
        </w:tc>
      </w:tr>
      <w:tr>
        <w:tc>
          <w:tcPr>
            <w:tcW w:type="dxa" w:w="2880"/>
          </w:tcPr>
          <w:p>
            <w:r/>
            <w:r>
              <w:rPr>
                <w:b/>
              </w:rPr>
              <w:t>Price you are paying</w:t>
            </w:r>
          </w:p>
        </w:tc>
        <w:tc>
          <w:tcPr>
            <w:tcW w:type="dxa" w:w="2880"/>
          </w:tcPr>
          <w:p>
            <w:r/>
            <w:r>
              <w:t>P/E, P/B, PEGY, Valuation tab</w:t>
            </w:r>
          </w:p>
        </w:tc>
        <w:tc>
          <w:tcPr>
            <w:tcW w:type="dxa" w:w="2880"/>
          </w:tcPr>
          <w:p>
            <w:r/>
            <w:r>
              <w:t>Are you over-paying compared to growth and earnings?</w:t>
            </w:r>
          </w:p>
        </w:tc>
      </w:tr>
      <w:tr>
        <w:tc>
          <w:tcPr>
            <w:tcW w:type="dxa" w:w="2880"/>
          </w:tcPr>
          <w:p>
            <w:r/>
            <w:r>
              <w:rPr>
                <w:b/>
              </w:rPr>
              <w:t>Trend &amp; timing</w:t>
            </w:r>
          </w:p>
        </w:tc>
        <w:tc>
          <w:tcPr>
            <w:tcW w:type="dxa" w:w="2880"/>
          </w:tcPr>
          <w:p>
            <w:r/>
            <w:r>
              <w:t>Momentum, Sector Rotation, Fear &amp; Greed</w:t>
            </w:r>
          </w:p>
        </w:tc>
        <w:tc>
          <w:tcPr>
            <w:tcW w:type="dxa" w:w="2880"/>
          </w:tcPr>
          <w:p>
            <w:r/>
            <w:r>
              <w:t>Is the market currently agreeing with you?</w:t>
            </w:r>
          </w:p>
        </w:tc>
      </w:tr>
      <w:tr>
        <w:tc>
          <w:tcPr>
            <w:tcW w:type="dxa" w:w="2880"/>
          </w:tcPr>
          <w:p>
            <w:r/>
            <w:r>
              <w:rPr>
                <w:b/>
              </w:rPr>
              <w:t>Catalysts &amp; sentiment</w:t>
            </w:r>
          </w:p>
        </w:tc>
        <w:tc>
          <w:tcPr>
            <w:tcW w:type="dxa" w:w="2880"/>
          </w:tcPr>
          <w:p>
            <w:r/>
            <w:r>
              <w:t>RNS News Screener, Analyst Monitor</w:t>
            </w:r>
          </w:p>
        </w:tc>
        <w:tc>
          <w:tcPr>
            <w:tcW w:type="dxa" w:w="2880"/>
          </w:tcPr>
          <w:p>
            <w:r/>
            <w:r>
              <w:t xml:space="preserve">Is something happening </w:t>
            </w:r>
            <w:r>
              <w:rPr>
                <w:i/>
              </w:rPr>
              <w:t>right now</w:t>
            </w:r>
            <w:r>
              <w:t xml:space="preserve"> that could move the price?</w:t>
            </w:r>
          </w:p>
        </w:tc>
      </w:tr>
    </w:tbl>
    <w:p>
      <w:r>
        <w:t xml:space="preserve">Workflows in </w:t>
      </w:r>
      <w:r>
        <w:t>Section 11</w:t>
      </w:r>
      <w:r>
        <w:t xml:space="preserve"> show exactly how to combine these signals to find candidates — including a master "</w:t>
      </w:r>
      <w:r>
        <w:rPr>
          <w:b/>
        </w:rPr>
        <w:t>Maximum Upside / Minimum Downside</w:t>
      </w:r>
      <w:r>
        <w:t>" workflow (</w:t>
      </w:r>
      <w:r>
        <w:t>11.8</w:t>
      </w:r>
      <w:r>
        <w:t>) that uses every tool in the app.</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Important disclaimer:</w:t>
            </w:r>
            <w:r>
              <w:t xml:space="preserve"> Nothing in this tool constitutes financial advice. The scores and indicators are research aids. Always do your own due diligence and consider consulting a qualified financial adviser before making investment decisions.</w:t>
            </w:r>
          </w:p>
        </w:tc>
      </w:tr>
    </w:tbl>
    <w:p>
      <w:pPr>
        <w:pStyle w:val="Heading3"/>
      </w:pPr>
      <w:bookmarkStart w:id="4" w:name="mh4"/>
      <w:r>
        <w:t>The Markets We Cover</w:t>
      </w:r>
      <w:bookmarkEnd w:id="4"/>
    </w:p>
    <w:p>
      <w:r>
        <w:t xml:space="preserve">The tool focuses on </w:t>
      </w:r>
      <w:r>
        <w:rPr>
          <w:b/>
        </w:rPr>
        <w:t>UK-listed equities</w:t>
      </w:r>
      <w:r>
        <w:t xml:space="preserve"> — companies whose shares trade on the London Stock Exchange. These are grouped into several indexes: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Index</w:t>
            </w:r>
          </w:p>
        </w:tc>
        <w:tc>
          <w:tcPr>
            <w:tcW w:type="dxa" w:w="4320"/>
            <w:shd w:val="clear" w:color="auto" w:fill="E7ECF3"/>
          </w:tcPr>
          <w:p>
            <w:r>
              <w:rPr>
                <w:b/>
              </w:rPr>
            </w:r>
            <w:r>
              <w:rPr>
                <w:b/>
              </w:rPr>
            </w:r>
            <w:r>
              <w:rPr>
                <w:b/>
              </w:rPr>
              <w:t>What it contains</w:t>
            </w:r>
          </w:p>
        </w:tc>
      </w:tr>
      <w:tr>
        <w:tc>
          <w:tcPr>
            <w:tcW w:type="dxa" w:w="4320"/>
          </w:tcPr>
          <w:p>
            <w:r/>
            <w:r>
              <w:rPr>
                <w:b/>
              </w:rPr>
              <w:t>FTSE 100</w:t>
            </w:r>
          </w:p>
        </w:tc>
        <w:tc>
          <w:tcPr>
            <w:tcW w:type="dxa" w:w="4320"/>
          </w:tcPr>
          <w:p>
            <w:r/>
            <w:r>
              <w:t>The 100 largest UK-listed companies by market value (e.g. Shell, AstraZeneca, HSBC). Often called "the Footsie".</w:t>
            </w:r>
          </w:p>
        </w:tc>
      </w:tr>
      <w:tr>
        <w:tc>
          <w:tcPr>
            <w:tcW w:type="dxa" w:w="4320"/>
          </w:tcPr>
          <w:p>
            <w:r/>
            <w:r>
              <w:rPr>
                <w:b/>
              </w:rPr>
              <w:t>FTSE 250</w:t>
            </w:r>
          </w:p>
        </w:tc>
        <w:tc>
          <w:tcPr>
            <w:tcW w:type="dxa" w:w="4320"/>
          </w:tcPr>
          <w:p>
            <w:r/>
            <w:r>
              <w:t>The next 250 largest companies. More domestically focused than the FTSE 100.</w:t>
            </w:r>
          </w:p>
        </w:tc>
      </w:tr>
      <w:tr>
        <w:tc>
          <w:tcPr>
            <w:tcW w:type="dxa" w:w="4320"/>
          </w:tcPr>
          <w:p>
            <w:r/>
            <w:r>
              <w:rPr>
                <w:b/>
              </w:rPr>
              <w:t>FTSE SmallCap</w:t>
            </w:r>
          </w:p>
        </w:tc>
        <w:tc>
          <w:tcPr>
            <w:tcW w:type="dxa" w:w="4320"/>
          </w:tcPr>
          <w:p>
            <w:r/>
            <w:r>
              <w:t>Smaller companies below the FTSE 250. Higher growth potential but less liquidity.</w:t>
            </w:r>
          </w:p>
        </w:tc>
      </w:tr>
      <w:tr>
        <w:tc>
          <w:tcPr>
            <w:tcW w:type="dxa" w:w="4320"/>
          </w:tcPr>
          <w:p>
            <w:r/>
            <w:r>
              <w:rPr>
                <w:b/>
              </w:rPr>
              <w:t>FTSE All-Share</w:t>
            </w:r>
          </w:p>
        </w:tc>
        <w:tc>
          <w:tcPr>
            <w:tcW w:type="dxa" w:w="4320"/>
          </w:tcPr>
          <w:p>
            <w:r/>
            <w:r>
              <w:t>The combined FTSE 100 + 250 + SmallCap.</w:t>
            </w:r>
          </w:p>
        </w:tc>
      </w:tr>
      <w:tr>
        <w:tc>
          <w:tcPr>
            <w:tcW w:type="dxa" w:w="4320"/>
          </w:tcPr>
          <w:p>
            <w:r/>
            <w:r>
              <w:rPr>
                <w:b/>
              </w:rPr>
              <w:t>AIM</w:t>
            </w:r>
          </w:p>
        </w:tc>
        <w:tc>
          <w:tcPr>
            <w:tcW w:type="dxa" w:w="4320"/>
          </w:tcPr>
          <w:p>
            <w:r/>
            <w:r>
              <w:t>The Alternative Investment Market. Smaller, often younger businesses. Higher risk, higher potential reward.</w:t>
            </w:r>
          </w:p>
        </w:tc>
      </w:tr>
    </w:tbl>
    <w:p>
      <w:pPr>
        <w:pBdr>
          <w:bottom w:val="single" w:sz="6" w:space="1" w:color="CCCCCC"/>
        </w:pBdr>
      </w:pPr>
    </w:p>
    <w:p>
      <w:pPr>
        <w:pStyle w:val="Heading2"/>
      </w:pPr>
      <w:bookmarkStart w:id="5" w:name="mh5"/>
      <w:r>
        <w:t>2. Dashboard Layout</w:t>
      </w:r>
      <w:bookmarkEnd w:id="5"/>
    </w:p>
    <w:p>
      <w:r>
        <w:t>When you open Alpha Move AI you see:</w:t>
      </w:r>
    </w:p>
    <w:p>
      <w:pPr>
        <w:spacing w:before="120" w:after="40"/>
        <w:jc w:val="center"/>
      </w:pPr>
      <w:r>
        <w:drawing>
          <wp:inline xmlns:a="http://schemas.openxmlformats.org/drawingml/2006/main" xmlns:pic="http://schemas.openxmlformats.org/drawingml/2006/picture">
            <wp:extent cx="5486400" cy="2612844"/>
            <wp:docPr id="2" name="Picture 2"/>
            <wp:cNvGraphicFramePr>
              <a:graphicFrameLocks noChangeAspect="1"/>
            </wp:cNvGraphicFramePr>
            <a:graphic>
              <a:graphicData uri="http://schemas.openxmlformats.org/drawingml/2006/picture">
                <pic:pic>
                  <pic:nvPicPr>
                    <pic:cNvPr id="0" name="Home Page.png"/>
                    <pic:cNvPicPr/>
                  </pic:nvPicPr>
                  <pic:blipFill>
                    <a:blip r:embed="rId10"/>
                    <a:stretch>
                      <a:fillRect/>
                    </a:stretch>
                  </pic:blipFill>
                  <pic:spPr>
                    <a:xfrm>
                      <a:off x="0" y="0"/>
                      <a:ext cx="5486400" cy="2612844"/>
                    </a:xfrm>
                    <a:prstGeom prst="rect"/>
                  </pic:spPr>
                </pic:pic>
              </a:graphicData>
            </a:graphic>
          </wp:inline>
        </w:drawing>
      </w:r>
    </w:p>
    <w:p>
      <w:pPr>
        <w:spacing w:after="240"/>
        <w:jc w:val="center"/>
      </w:pPr>
      <w:r>
        <w:rPr>
          <w:i/>
          <w:color w:val="666666"/>
          <w:sz w:val="18"/>
        </w:rPr>
        <w:t>The home page — the Screener table with its filter bar across the top and the live market sidebar down the left.</w:t>
      </w:r>
    </w:p>
    <w:p>
      <w:pPr>
        <w:spacing w:after="40"/>
        <w:ind w:left="360"/>
      </w:pPr>
      <w:r>
        <w:t xml:space="preserve">• </w:t>
      </w:r>
      <w:r>
        <w:rPr>
          <w:b/>
        </w:rPr>
        <w:t>Top navigation bar</w:t>
      </w:r>
      <w:r>
        <w:t xml:space="preserve"> — </w:t>
      </w:r>
      <w:r>
        <w:rPr>
          <w:b/>
        </w:rPr>
        <w:t>Screener</w:t>
      </w:r>
      <w:r>
        <w:t xml:space="preserve">, </w:t>
      </w:r>
      <w:r>
        <w:rPr>
          <w:b/>
        </w:rPr>
        <w:t>Trending</w:t>
      </w:r>
      <w:r>
        <w:t xml:space="preserve">, </w:t>
      </w:r>
      <w:r>
        <w:rPr>
          <w:b/>
        </w:rPr>
        <w:t>Watchlist</w:t>
      </w:r>
      <w:r>
        <w:t xml:space="preserve">, </w:t>
      </w:r>
      <w:r>
        <w:rPr>
          <w:b/>
        </w:rPr>
        <w:t>Analysts</w:t>
      </w:r>
      <w:r>
        <w:t xml:space="preserve">, </w:t>
      </w:r>
      <w:r>
        <w:rPr>
          <w:b/>
        </w:rPr>
        <w:t>RNS News</w:t>
      </w:r>
      <w:r>
        <w:t xml:space="preserve">, </w:t>
      </w:r>
      <w:r>
        <w:rPr>
          <w:b/>
        </w:rPr>
        <w:t>Subscribe</w:t>
      </w:r>
      <w:r>
        <w:t xml:space="preserve">, and </w:t>
      </w:r>
      <w:r>
        <w:rPr>
          <w:b/>
        </w:rPr>
        <w:t>Markets</w:t>
      </w:r>
      <w:r>
        <w:t xml:space="preserve">. On narrow screens (tablets and phones) the links collapse into a </w:t>
      </w:r>
      <w:r>
        <w:rPr>
          <w:b/>
        </w:rPr>
        <w:t>☰ hamburger</w:t>
      </w:r>
      <w:r>
        <w:t xml:space="preserve"> menu. The </w:t>
      </w:r>
      <w:r>
        <w:rPr>
          <w:b/>
        </w:rPr>
        <w:t>Markets</w:t>
      </w:r>
      <w:r>
        <w:t xml:space="preserve"> link opens a single combined page that stacks the Cross-Asset Monitor, Fear &amp; Greed Index, Market Breadth, and Sector Rotation panels (see </w:t>
      </w:r>
      <w:r>
        <w:t>Sections 5–6</w:t>
      </w:r>
      <w:r>
        <w:t>).</w:t>
      </w:r>
    </w:p>
    <w:p>
      <w:pPr>
        <w:spacing w:after="40"/>
        <w:ind w:left="360"/>
      </w:pPr>
      <w:r>
        <w:t xml:space="preserve">• </w:t>
      </w:r>
      <w:r>
        <w:rPr>
          <w:b/>
        </w:rPr>
        <w:t>Left sidebar</w:t>
      </w:r>
      <w:r>
        <w:t xml:space="preserve"> — a live pulse of the market: a London Stock Exchange open/closed clock, benchmark returns, ICB sector strength, the UK and US fear gauges, and a </w:t>
      </w:r>
      <w:r>
        <w:rPr>
          <w:b/>
        </w:rPr>
        <w:t>▦ Heatmap</w:t>
      </w:r>
      <w:r>
        <w:t xml:space="preserve"> link to the Sector Heatmap. See </w:t>
      </w:r>
      <w:r>
        <w:t>Section 10</w:t>
      </w:r>
      <w:r>
        <w:t>. Toggle the sidebar on or off using the icon at the top-left of the navigation bar.</w:t>
      </w:r>
    </w:p>
    <w:p>
      <w:pPr>
        <w:spacing w:after="40"/>
        <w:ind w:left="360"/>
      </w:pPr>
      <w:r>
        <w:t xml:space="preserve">• </w:t>
      </w:r>
      <w:r>
        <w:rPr>
          <w:b/>
        </w:rPr>
        <w:t>Main content area</w:t>
      </w:r>
      <w:r>
        <w:t xml:space="preserve"> — changes depending on which page you are on.</w:t>
      </w:r>
    </w:p>
    <w:p>
      <w:pPr>
        <w:spacing w:after="40"/>
        <w:ind w:left="360"/>
      </w:pPr>
      <w:r>
        <w:t xml:space="preserve">• </w:t>
      </w:r>
      <w:r>
        <w:rPr>
          <w:b/>
        </w:rPr>
        <w:t>Search bar</w:t>
      </w:r>
      <w:r>
        <w:t xml:space="preserve"> — type a company name or ticker symbol to jump straight to its detail page.</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Direct links to companies:</w:t>
            </w:r>
            <w:r>
              <w:t xml:space="preserve"> When you open a company page, the URL updates to include the ticker (e.g. </w:t>
            </w:r>
            <w:r>
              <w:rPr>
                <w:rFonts w:ascii="Consolas" w:hAnsi="Consolas"/>
                <w:color w:val="B11A4B"/>
              </w:rPr>
              <w:t>…#company/AZN.L</w:t>
            </w:r>
            <w:r>
              <w:t xml:space="preserve">). You can bookmark or share that link to land directly on that company. The browser </w:t>
            </w:r>
            <w:r>
              <w:rPr>
                <w:b/>
              </w:rPr>
              <w:t>Back</w:t>
            </w:r>
            <w:r>
              <w:t xml:space="preserve"> button takes you back to wherever you came from (screener, watchlist, RNS feed, etc.).</w:t>
            </w:r>
          </w:p>
        </w:tc>
      </w:tr>
    </w:tbl>
    <w:p>
      <w:pPr>
        <w:pBdr>
          <w:bottom w:val="single" w:sz="6" w:space="1" w:color="CCCCCC"/>
        </w:pBdr>
      </w:pPr>
    </w:p>
    <w:p>
      <w:pPr>
        <w:pStyle w:val="Heading2"/>
      </w:pPr>
      <w:bookmarkStart w:id="6" w:name="mh6"/>
      <w:r>
        <w:t>3. The Screener</w:t>
      </w:r>
      <w:bookmarkEnd w:id="6"/>
    </w:p>
    <w:p>
      <w:r>
        <w:t>The Screener is the heart of the application. It displays a table of UK stocks which you can filter and sort to find candidates matching your strategy.</w:t>
      </w:r>
    </w:p>
    <w:p>
      <w:pPr>
        <w:pStyle w:val="Heading3"/>
      </w:pPr>
      <w:bookmarkStart w:id="7" w:name="mh7"/>
      <w:r>
        <w:t>3.1 Understanding the Columns</w:t>
      </w:r>
      <w:bookmarkEnd w:id="7"/>
    </w:p>
    <w:p>
      <w:pPr>
        <w:pStyle w:val="Heading4"/>
      </w:pPr>
      <w:bookmarkStart w:id="8" w:name="mh8"/>
      <w:r>
        <w:t>Fundamentals View</w:t>
      </w:r>
      <w:bookmarkEnd w:id="8"/>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7ECF3"/>
          </w:tcPr>
          <w:p>
            <w:r>
              <w:rPr>
                <w:b/>
              </w:rPr>
            </w:r>
            <w:r>
              <w:rPr>
                <w:b/>
              </w:rPr>
            </w:r>
            <w:r>
              <w:rPr>
                <w:b/>
              </w:rPr>
              <w:t>Column</w:t>
            </w:r>
          </w:p>
        </w:tc>
        <w:tc>
          <w:tcPr>
            <w:tcW w:type="dxa" w:w="2880"/>
            <w:shd w:val="clear" w:color="auto" w:fill="E7ECF3"/>
          </w:tcPr>
          <w:p>
            <w:r>
              <w:rPr>
                <w:b/>
              </w:rPr>
            </w:r>
            <w:r>
              <w:rPr>
                <w:b/>
              </w:rPr>
            </w:r>
            <w:r>
              <w:rPr>
                <w:b/>
              </w:rPr>
              <w:t>What it means</w:t>
            </w:r>
          </w:p>
        </w:tc>
        <w:tc>
          <w:tcPr>
            <w:tcW w:type="dxa" w:w="2880"/>
            <w:shd w:val="clear" w:color="auto" w:fill="E7ECF3"/>
          </w:tcPr>
          <w:p>
            <w:r>
              <w:rPr>
                <w:b/>
              </w:rPr>
            </w:r>
            <w:r>
              <w:rPr>
                <w:b/>
              </w:rPr>
            </w:r>
            <w:r>
              <w:rPr>
                <w:b/>
              </w:rPr>
              <w:t>What to look for</w:t>
            </w:r>
          </w:p>
        </w:tc>
      </w:tr>
      <w:tr>
        <w:tc>
          <w:tcPr>
            <w:tcW w:type="dxa" w:w="2880"/>
          </w:tcPr>
          <w:p>
            <w:r/>
            <w:r>
              <w:rPr>
                <w:b/>
              </w:rPr>
              <w:t>Symbol</w:t>
            </w:r>
          </w:p>
        </w:tc>
        <w:tc>
          <w:tcPr>
            <w:tcW w:type="dxa" w:w="2880"/>
          </w:tcPr>
          <w:p>
            <w:r/>
            <w:r>
              <w:t xml:space="preserve">The stock's ticker code, e.g. </w:t>
            </w:r>
            <w:r>
              <w:rPr>
                <w:rFonts w:ascii="Consolas" w:hAnsi="Consolas"/>
                <w:color w:val="B11A4B"/>
              </w:rPr>
              <w:t>AZN.L</w:t>
            </w:r>
            <w:r>
              <w:t xml:space="preserve">. The </w:t>
            </w:r>
            <w:r>
              <w:rPr>
                <w:rFonts w:ascii="Consolas" w:hAnsi="Consolas"/>
                <w:color w:val="B11A4B"/>
              </w:rPr>
              <w:t>.L</w:t>
            </w:r>
            <w:r>
              <w:t xml:space="preserve"> means London-listed.</w:t>
            </w:r>
          </w:p>
        </w:tc>
        <w:tc>
          <w:tcPr>
            <w:tcW w:type="dxa" w:w="2880"/>
          </w:tcPr>
          <w:p>
            <w:r/>
            <w:r>
              <w:t>—</w:t>
            </w:r>
          </w:p>
        </w:tc>
      </w:tr>
      <w:tr>
        <w:tc>
          <w:tcPr>
            <w:tcW w:type="dxa" w:w="2880"/>
          </w:tcPr>
          <w:p>
            <w:r/>
            <w:r>
              <w:rPr>
                <w:b/>
              </w:rPr>
              <w:t>Name</w:t>
            </w:r>
          </w:p>
        </w:tc>
        <w:tc>
          <w:tcPr>
            <w:tcW w:type="dxa" w:w="2880"/>
          </w:tcPr>
          <w:p>
            <w:r/>
            <w:r>
              <w:t>Company name</w:t>
            </w:r>
          </w:p>
        </w:tc>
        <w:tc>
          <w:tcPr>
            <w:tcW w:type="dxa" w:w="2880"/>
          </w:tcPr>
          <w:p>
            <w:r/>
            <w:r>
              <w:t>—</w:t>
            </w:r>
          </w:p>
        </w:tc>
      </w:tr>
      <w:tr>
        <w:tc>
          <w:tcPr>
            <w:tcW w:type="dxa" w:w="2880"/>
          </w:tcPr>
          <w:p>
            <w:r/>
            <w:r>
              <w:rPr>
                <w:b/>
              </w:rPr>
              <w:t>Sector</w:t>
            </w:r>
          </w:p>
        </w:tc>
        <w:tc>
          <w:tcPr>
            <w:tcW w:type="dxa" w:w="2880"/>
          </w:tcPr>
          <w:p>
            <w:r/>
            <w:r>
              <w:t>The industry the company operates in (ICB classification — see Appendix B)</w:t>
            </w:r>
          </w:p>
        </w:tc>
        <w:tc>
          <w:tcPr>
            <w:tcW w:type="dxa" w:w="2880"/>
          </w:tcPr>
          <w:p>
            <w:r/>
            <w:r>
              <w:t>Use to compare like-for-like</w:t>
            </w:r>
          </w:p>
        </w:tc>
      </w:tr>
      <w:tr>
        <w:tc>
          <w:tcPr>
            <w:tcW w:type="dxa" w:w="2880"/>
          </w:tcPr>
          <w:p>
            <w:r/>
            <w:r>
              <w:rPr>
                <w:b/>
              </w:rPr>
              <w:t>Index</w:t>
            </w:r>
          </w:p>
        </w:tc>
        <w:tc>
          <w:tcPr>
            <w:tcW w:type="dxa" w:w="2880"/>
          </w:tcPr>
          <w:p>
            <w:r/>
            <w:r>
              <w:t>Which FTSE index the stock belongs to</w:t>
            </w:r>
          </w:p>
        </w:tc>
        <w:tc>
          <w:tcPr>
            <w:tcW w:type="dxa" w:w="2880"/>
          </w:tcPr>
          <w:p>
            <w:r/>
            <w:r>
              <w:t>Indicates size</w:t>
            </w:r>
          </w:p>
        </w:tc>
      </w:tr>
      <w:tr>
        <w:tc>
          <w:tcPr>
            <w:tcW w:type="dxa" w:w="2880"/>
          </w:tcPr>
          <w:p>
            <w:r/>
            <w:r>
              <w:rPr>
                <w:b/>
              </w:rPr>
              <w:t>Mkt Cap</w:t>
            </w:r>
          </w:p>
        </w:tc>
        <w:tc>
          <w:tcPr>
            <w:tcW w:type="dxa" w:w="2880"/>
          </w:tcPr>
          <w:p>
            <w:r/>
            <w:r>
              <w:rPr>
                <w:b/>
              </w:rPr>
              <w:t>Market Capitalisation</w:t>
            </w:r>
            <w:r>
              <w:t xml:space="preserve"> — the total stock market value of all shares. Calculated as: Share price × number of shares outstanding. A £10bn market cap is a large company.</w:t>
            </w:r>
          </w:p>
        </w:tc>
        <w:tc>
          <w:tcPr>
            <w:tcW w:type="dxa" w:w="2880"/>
          </w:tcPr>
          <w:p>
            <w:r/>
            <w:r>
              <w:t>Larger = more stable; smaller = more growth potential</w:t>
            </w:r>
          </w:p>
        </w:tc>
      </w:tr>
      <w:tr>
        <w:tc>
          <w:tcPr>
            <w:tcW w:type="dxa" w:w="2880"/>
          </w:tcPr>
          <w:p>
            <w:r/>
            <w:r>
              <w:rPr>
                <w:b/>
              </w:rPr>
              <w:t>P/E</w:t>
            </w:r>
          </w:p>
        </w:tc>
        <w:tc>
          <w:tcPr>
            <w:tcW w:type="dxa" w:w="2880"/>
          </w:tcPr>
          <w:p>
            <w:r/>
            <w:r>
              <w:rPr>
                <w:b/>
              </w:rPr>
              <w:t>Price-to-Earnings ratio</w:t>
            </w:r>
            <w:r>
              <w:t xml:space="preserve"> — how much investors pay for each £1 of profit. If a company earns £1 per share and trades at £20, its P/E is 20. A high P/E means investors expect strong future growth; a low P/E may mean the stock is cheap or the business is struggling.</w:t>
            </w:r>
          </w:p>
        </w:tc>
        <w:tc>
          <w:tcPr>
            <w:tcW w:type="dxa" w:w="2880"/>
          </w:tcPr>
          <w:p>
            <w:r/>
            <w:r>
              <w:t>Compare within the same sector; no universal "good" number</w:t>
            </w:r>
          </w:p>
        </w:tc>
      </w:tr>
      <w:tr>
        <w:tc>
          <w:tcPr>
            <w:tcW w:type="dxa" w:w="2880"/>
          </w:tcPr>
          <w:p>
            <w:r/>
            <w:r>
              <w:rPr>
                <w:b/>
              </w:rPr>
              <w:t>P/B</w:t>
            </w:r>
          </w:p>
        </w:tc>
        <w:tc>
          <w:tcPr>
            <w:tcW w:type="dxa" w:w="2880"/>
          </w:tcPr>
          <w:p>
            <w:r/>
            <w:r>
              <w:rPr>
                <w:b/>
              </w:rPr>
              <w:t>Price-to-Book ratio</w:t>
            </w:r>
            <w:r>
              <w:t xml:space="preserve"> — share price divided by the company's net asset value per share. P/B &lt; 1 means you are buying £1 of assets for less than £1.</w:t>
            </w:r>
          </w:p>
        </w:tc>
        <w:tc>
          <w:tcPr>
            <w:tcW w:type="dxa" w:w="2880"/>
          </w:tcPr>
          <w:p>
            <w:r/>
            <w:r>
              <w:t>Useful for asset-heavy sectors like banks and property</w:t>
            </w:r>
          </w:p>
        </w:tc>
      </w:tr>
      <w:tr>
        <w:tc>
          <w:tcPr>
            <w:tcW w:type="dxa" w:w="2880"/>
          </w:tcPr>
          <w:p>
            <w:r/>
            <w:r>
              <w:rPr>
                <w:b/>
              </w:rPr>
              <w:t>ROE</w:t>
            </w:r>
          </w:p>
        </w:tc>
        <w:tc>
          <w:tcPr>
            <w:tcW w:type="dxa" w:w="2880"/>
          </w:tcPr>
          <w:p>
            <w:r/>
            <w:r>
              <w:rPr>
                <w:b/>
              </w:rPr>
              <w:t>Return on Equity</w:t>
            </w:r>
            <w:r>
              <w:t xml:space="preserve"> — net profit as a percentage of shareholders' equity. Measures how efficiently management uses your money. 15%+ is generally considered good.</w:t>
            </w:r>
          </w:p>
        </w:tc>
        <w:tc>
          <w:tcPr>
            <w:tcW w:type="dxa" w:w="2880"/>
          </w:tcPr>
          <w:p>
            <w:r/>
            <w:r>
              <w:t>Higher is better; look for consistency over several years</w:t>
            </w:r>
          </w:p>
        </w:tc>
      </w:tr>
      <w:tr>
        <w:tc>
          <w:tcPr>
            <w:tcW w:type="dxa" w:w="2880"/>
          </w:tcPr>
          <w:p>
            <w:r/>
            <w:r>
              <w:rPr>
                <w:b/>
              </w:rPr>
              <w:t>Rev Growth</w:t>
            </w:r>
          </w:p>
        </w:tc>
        <w:tc>
          <w:tcPr>
            <w:tcW w:type="dxa" w:w="2880"/>
          </w:tcPr>
          <w:p>
            <w:r/>
            <w:r>
              <w:t>Year-on-year revenue growth percentage</w:t>
            </w:r>
          </w:p>
        </w:tc>
        <w:tc>
          <w:tcPr>
            <w:tcW w:type="dxa" w:w="2880"/>
          </w:tcPr>
          <w:p>
            <w:r/>
            <w:r>
              <w:t>Positive and growing is ideal</w:t>
            </w:r>
          </w:p>
        </w:tc>
      </w:tr>
      <w:tr>
        <w:tc>
          <w:tcPr>
            <w:tcW w:type="dxa" w:w="2880"/>
          </w:tcPr>
          <w:p>
            <w:r/>
            <w:r>
              <w:rPr>
                <w:b/>
              </w:rPr>
              <w:t>D/E</w:t>
            </w:r>
          </w:p>
        </w:tc>
        <w:tc>
          <w:tcPr>
            <w:tcW w:type="dxa" w:w="2880"/>
          </w:tcPr>
          <w:p>
            <w:r/>
            <w:r>
              <w:rPr>
                <w:b/>
              </w:rPr>
              <w:t>Debt-to-Equity ratio</w:t>
            </w:r>
            <w:r>
              <w:t xml:space="preserve"> — total debt divided by shareholders' equity. A D/E of 1.0 means the company has £1 of debt for every £1 of equity. High D/E increases risk, especially when interest rates are high.</w:t>
            </w:r>
          </w:p>
        </w:tc>
        <w:tc>
          <w:tcPr>
            <w:tcW w:type="dxa" w:w="2880"/>
          </w:tcPr>
          <w:p>
            <w:r/>
            <w:r>
              <w:t>Lower is safer; context matters (utilities typically carry more debt)</w:t>
            </w:r>
          </w:p>
        </w:tc>
      </w:tr>
      <w:tr>
        <w:tc>
          <w:tcPr>
            <w:tcW w:type="dxa" w:w="2880"/>
          </w:tcPr>
          <w:p>
            <w:r/>
            <w:r>
              <w:rPr>
                <w:b/>
              </w:rPr>
              <w:t>PEGY</w:t>
            </w:r>
          </w:p>
        </w:tc>
        <w:tc>
          <w:tcPr>
            <w:tcW w:type="dxa" w:w="2880"/>
          </w:tcPr>
          <w:p>
            <w:r/>
            <w:r>
              <w:rPr>
                <w:b/>
              </w:rPr>
              <w:t>Price/Earnings divided by (Growth + Yield)</w:t>
            </w:r>
            <w:r>
              <w:t>. A simple "value-for-money" check. See Section 3.5.</w:t>
            </w:r>
          </w:p>
        </w:tc>
        <w:tc>
          <w:tcPr>
            <w:tcW w:type="dxa" w:w="2880"/>
          </w:tcPr>
          <w:p>
            <w:r/>
            <w:r>
              <w:t>Below 1 = potentially great value; 1–2 = fair; above 2 = expensive for the growth</w:t>
            </w:r>
          </w:p>
        </w:tc>
      </w:tr>
      <w:tr>
        <w:tc>
          <w:tcPr>
            <w:tcW w:type="dxa" w:w="2880"/>
          </w:tcPr>
          <w:p>
            <w:r/>
            <w:r>
              <w:rPr>
                <w:b/>
              </w:rPr>
              <w:t>Momentum</w:t>
            </w:r>
          </w:p>
        </w:tc>
        <w:tc>
          <w:tcPr>
            <w:tcW w:type="dxa" w:w="2880"/>
          </w:tcPr>
          <w:p>
            <w:r/>
            <w:r>
              <w:t>A score from 1–10 measuring price trend strength. See Section 3.2.</w:t>
            </w:r>
          </w:p>
        </w:tc>
        <w:tc>
          <w:tcPr>
            <w:tcW w:type="dxa" w:w="2880"/>
          </w:tcPr>
          <w:p>
            <w:r/>
            <w:r>
              <w:t>Higher score = stronger upward trend</w:t>
            </w:r>
          </w:p>
        </w:tc>
      </w:tr>
      <w:tr>
        <w:tc>
          <w:tcPr>
            <w:tcW w:type="dxa" w:w="2880"/>
          </w:tcPr>
          <w:p>
            <w:r/>
            <w:r>
              <w:rPr>
                <w:b/>
              </w:rPr>
              <w:t>Quality</w:t>
            </w:r>
          </w:p>
        </w:tc>
        <w:tc>
          <w:tcPr>
            <w:tcW w:type="dxa" w:w="2880"/>
          </w:tcPr>
          <w:p>
            <w:r/>
            <w:r>
              <w:t>A score from 0–10 measuring the consistency and level of returns. See Section 3.2.</w:t>
            </w:r>
          </w:p>
        </w:tc>
        <w:tc>
          <w:tcPr>
            <w:tcW w:type="dxa" w:w="2880"/>
          </w:tcPr>
          <w:p>
            <w:r/>
            <w:r>
              <w:t>Higher is better</w:t>
            </w:r>
          </w:p>
        </w:tc>
      </w:tr>
      <w:tr>
        <w:tc>
          <w:tcPr>
            <w:tcW w:type="dxa" w:w="2880"/>
          </w:tcPr>
          <w:p>
            <w:r/>
            <w:r>
              <w:rPr>
                <w:b/>
              </w:rPr>
              <w:t>Value</w:t>
            </w:r>
          </w:p>
        </w:tc>
        <w:tc>
          <w:tcPr>
            <w:tcW w:type="dxa" w:w="2880"/>
          </w:tcPr>
          <w:p>
            <w:r/>
            <w:r>
              <w:t xml:space="preserve">The </w:t>
            </w:r>
            <w:r>
              <w:rPr>
                <w:b/>
              </w:rPr>
              <w:t>Piotroski F-Score</w:t>
            </w:r>
            <w:r>
              <w:t xml:space="preserve"> (0–9), a measure of financial health and value. See Section 3.2.</w:t>
            </w:r>
          </w:p>
        </w:tc>
        <w:tc>
          <w:tcPr>
            <w:tcW w:type="dxa" w:w="2880"/>
          </w:tcPr>
          <w:p>
            <w:r/>
            <w:r>
              <w:t>7+ is strong; below 3 is weak</w:t>
            </w:r>
          </w:p>
        </w:tc>
      </w:tr>
      <w:tr>
        <w:tc>
          <w:tcPr>
            <w:tcW w:type="dxa" w:w="2880"/>
          </w:tcPr>
          <w:p>
            <w:r/>
            <w:r>
              <w:rPr>
                <w:b/>
              </w:rPr>
              <w:t>Risk</w:t>
            </w:r>
          </w:p>
        </w:tc>
        <w:tc>
          <w:tcPr>
            <w:tcW w:type="dxa" w:w="2880"/>
          </w:tcPr>
          <w:p>
            <w:r/>
            <w:r>
              <w:t>A composite risk score from 1–10. See Section 3.2.</w:t>
            </w:r>
          </w:p>
        </w:tc>
        <w:tc>
          <w:tcPr>
            <w:tcW w:type="dxa" w:w="2880"/>
          </w:tcPr>
          <w:p>
            <w:r/>
            <w:r>
              <w:t>Lower is safer</w:t>
            </w:r>
          </w:p>
        </w:tc>
      </w:tr>
      <w:tr>
        <w:tc>
          <w:tcPr>
            <w:tcW w:type="dxa" w:w="2880"/>
          </w:tcPr>
          <w:p>
            <w:r/>
            <w:r>
              <w:rPr>
                <w:b/>
              </w:rPr>
              <w:t>★ Star</w:t>
            </w:r>
          </w:p>
        </w:tc>
        <w:tc>
          <w:tcPr>
            <w:tcW w:type="dxa" w:w="2880"/>
          </w:tcPr>
          <w:p>
            <w:r/>
            <w:r>
              <w:t xml:space="preserve">A small star icon at the start of each row. Click to add or remove the company from your </w:t>
            </w:r>
            <w:r>
              <w:rPr>
                <w:b/>
              </w:rPr>
              <w:t>Watchlist</w:t>
            </w:r>
            <w:r>
              <w:t xml:space="preserve"> (see Section 3.6).</w:t>
            </w:r>
          </w:p>
        </w:tc>
        <w:tc>
          <w:tcPr>
            <w:tcW w:type="dxa" w:w="2880"/>
          </w:tcPr>
          <w:p>
            <w:r/>
            <w:r>
              <w:t>A gold star means the company is on your list</w:t>
            </w:r>
          </w:p>
        </w:tc>
      </w:tr>
    </w:tbl>
    <w:p>
      <w:pPr>
        <w:pStyle w:val="Heading4"/>
      </w:pPr>
      <w:bookmarkStart w:id="9" w:name="mh9"/>
      <w:r>
        <w:t>What is Equity?</w:t>
      </w:r>
      <w:bookmarkEnd w:id="9"/>
    </w:p>
    <w:p>
      <w:r>
        <w:t>Think of a company like a house. If the house is worth £300,000 but you have a £200,000 mortgage, your equity (what you actually own) is £100,000. A company's equity is its total assets minus its total liabilities — what would be left for shareholders if the company sold everything and paid all its debts.</w:t>
      </w:r>
    </w:p>
    <w:p>
      <w:pPr>
        <w:pBdr>
          <w:bottom w:val="single" w:sz="6" w:space="1" w:color="CCCCCC"/>
        </w:pBdr>
      </w:pPr>
    </w:p>
    <w:p>
      <w:pPr>
        <w:pStyle w:val="Heading3"/>
      </w:pPr>
      <w:bookmarkStart w:id="10" w:name="mh10"/>
      <w:r>
        <w:t>3.2 The Four Scores Explained</w:t>
      </w:r>
      <w:bookmarkEnd w:id="10"/>
    </w:p>
    <w:p>
      <w:r>
        <w:t>These are proprietary composite scores calculated from underlying financial data. They allow quick comparison across the universe without reading each company's accounts.</w:t>
      </w:r>
    </w:p>
    <w:p>
      <w:pPr>
        <w:pBdr>
          <w:bottom w:val="single" w:sz="6" w:space="1" w:color="CCCCCC"/>
        </w:pBdr>
      </w:pPr>
    </w:p>
    <w:p>
      <w:pPr>
        <w:pStyle w:val="Heading4"/>
      </w:pPr>
      <w:bookmarkStart w:id="11" w:name="mh11"/>
      <w:r>
        <w:t>Momentum Score (1–10)</w:t>
      </w:r>
      <w:bookmarkEnd w:id="11"/>
    </w:p>
    <w:p>
      <w:r>
        <w:rPr>
          <w:b/>
        </w:rPr>
        <w:t>What it measures:</w:t>
      </w:r>
      <w:r>
        <w:t xml:space="preserve"> How strongly the share price has been trending upward over the medium term.</w:t>
      </w:r>
    </w:p>
    <w:p>
      <w:r>
        <w:rPr>
          <w:b/>
        </w:rPr>
        <w:t>How it is calculated:</w:t>
      </w:r>
    </w:p>
    <w:p>
      <w:r>
        <w:t xml:space="preserve">The score uses the academic concept of </w:t>
      </w:r>
      <w:r>
        <w:rPr>
          <w:b/>
        </w:rPr>
        <w:t>12-1 month price momentum</w:t>
      </w:r>
      <w:r>
        <w:t xml:space="preserve"> — one of the most extensively researched phenomena in finance. The formula compares the stock's price 63 trading days ago (~3 months) to its price 252 trading days ago (~12 months):</w:t>
      </w:r>
    </w:p>
    <w:p>
      <w:pPr>
        <w:shd w:val="clear" w:color="auto" w:fill="F5F5F5"/>
        <w:ind w:left="288"/>
      </w:pPr>
      <w:r>
        <w:rPr>
          <w:rFonts w:ascii="Consolas" w:hAnsi="Consolas"/>
          <w:sz w:val="19"/>
        </w:rPr>
        <w:t>Momentum Return = (Price 63 days ago) ÷ (Price 252 days ago) − 1</w:t>
      </w:r>
    </w:p>
    <w:p>
      <w:r>
        <w:t xml:space="preserve">The most recent 3 months are deliberately excluded. Research shows that very recent returns tend to </w:t>
      </w:r>
      <w:r>
        <w:rPr>
          <w:b/>
        </w:rPr>
        <w:t>reverse</w:t>
      </w:r>
      <w:r>
        <w:t xml:space="preserve"> (a short-term bounce is often followed by a pullback), while the 3–12 month window tends to </w:t>
      </w:r>
      <w:r>
        <w:rPr>
          <w:b/>
        </w:rPr>
        <w:t>persist</w:t>
      </w:r>
      <w:r>
        <w:t xml:space="preserve"> (winners keep winning, losers keep losing). This phenomenon is called </w:t>
      </w:r>
      <w:r>
        <w:rPr>
          <w:b/>
        </w:rPr>
        <w:t>price momentum</w:t>
      </w:r>
      <w:r>
        <w:t>.</w:t>
      </w:r>
    </w:p>
    <w:p>
      <w:r>
        <w:t xml:space="preserve">All stocks are then </w:t>
      </w:r>
      <w:r>
        <w:rPr>
          <w:b/>
        </w:rPr>
        <w:t>ranked against each other</w:t>
      </w:r>
      <w:r>
        <w:t xml:space="preserve"> by this return and assigned a score of 1–10. The score is a </w:t>
      </w:r>
      <w:r>
        <w:rPr>
          <w:i/>
        </w:rPr>
        <w:t>percentile rank within the current screened universe</w:t>
      </w:r>
      <w:r>
        <w:t>, not an absolute number — a 10 means the stock is in the top tenth of momentum among the stocks on screen, and a 1 means the bottom tenth.</w:t>
      </w:r>
    </w:p>
    <w:p>
      <w:r>
        <w:rPr>
          <w:b/>
        </w:rPr>
        <w:t>Worked example:</w:t>
      </w:r>
      <w:r>
        <w:t xml:space="preserve"> Imagine 200 stocks pass your screen. The app computes each one's 12-1 month return, sorts them from worst to best, and splits them into ten equal bands. A stock sitting 184th out of 200 (the 92nd percentile) lands in the top band and scores </w:t>
      </w:r>
      <w:r>
        <w:rPr>
          <w:b/>
        </w:rPr>
        <w:t>10</w:t>
      </w:r>
      <w:r>
        <w:t xml:space="preserve">; a stock 5th from bottom scores </w:t>
      </w:r>
      <w:r>
        <w:rPr>
          <w:b/>
        </w:rPr>
        <w:t>1</w:t>
      </w:r>
      <w:r>
        <w:t>.</w:t>
      </w:r>
    </w:p>
    <w:p>
      <w:r>
        <w:rPr>
          <w:b/>
        </w:rPr>
        <w:t>What to look for:</w:t>
      </w:r>
      <w:r>
        <w:t xml:space="preserve"> A score of 7 or higher suggests the stock has been among the better performers. Combined with strong fundamentals, this can confirm that the market is already recognising the quality you have identified.</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Under the hood — Momentum (1–10)</w:t>
            </w:r>
          </w:p>
          <w:p>
            <w:pPr>
              <w:spacing w:after="40"/>
              <w:ind w:left="360"/>
            </w:pPr>
            <w:r>
              <w:t xml:space="preserve">• </w:t>
            </w:r>
            <w:r>
              <w:rPr>
                <w:b/>
              </w:rPr>
              <w:t>Raw signal:</w:t>
            </w:r>
            <w:r>
              <w:t xml:space="preserve"> </w:t>
            </w:r>
            <w:r>
              <w:rPr>
                <w:rFonts w:ascii="Consolas" w:hAnsi="Consolas"/>
                <w:color w:val="B11A4B"/>
              </w:rPr>
              <w:t>Momentum Return = close(63 trading days ago) ÷ close(252 trading days ago) − 1</w:t>
            </w:r>
            <w:r>
              <w:t>. This is the return over the window from ~12 months ago to ~3 months ago, deliberately skipping the most recent 3 months (short-term reversal).</w:t>
            </w:r>
          </w:p>
          <w:p>
            <w:pPr>
              <w:spacing w:after="40"/>
              <w:ind w:left="360"/>
            </w:pPr>
            <w:r>
              <w:t xml:space="preserve">• </w:t>
            </w:r>
            <w:r>
              <w:rPr>
                <w:b/>
              </w:rPr>
              <w:t>Data requirement:</w:t>
            </w:r>
            <w:r>
              <w:t xml:space="preserve"> a stock needs at least 252 trading days of price history; otherwise it gets no momentum score (blank).</w:t>
            </w:r>
          </w:p>
          <w:p>
            <w:pPr>
              <w:spacing w:after="40"/>
              <w:ind w:left="360"/>
            </w:pPr>
            <w:r>
              <w:t xml:space="preserve">• </w:t>
            </w:r>
            <w:r>
              <w:rPr>
                <w:b/>
              </w:rPr>
              <w:t>Scoring:</w:t>
            </w:r>
            <w:r>
              <w:t xml:space="preserve"> all stocks with a raw return are sorted ascending. For a stock at position </w:t>
            </w:r>
            <w:r>
              <w:rPr>
                <w:rFonts w:ascii="Consolas" w:hAnsi="Consolas"/>
                <w:color w:val="B11A4B"/>
              </w:rPr>
              <w:t>i</w:t>
            </w:r>
            <w:r>
              <w:t xml:space="preserve"> (0-based) out of </w:t>
            </w:r>
            <w:r>
              <w:rPr>
                <w:rFonts w:ascii="Consolas" w:hAnsi="Consolas"/>
                <w:color w:val="B11A4B"/>
              </w:rPr>
              <w:t>n</w:t>
            </w:r>
            <w:r>
              <w:t xml:space="preserve">, </w:t>
            </w:r>
            <w:r>
              <w:rPr>
                <w:rFonts w:ascii="Consolas" w:hAnsi="Consolas"/>
                <w:color w:val="B11A4B"/>
              </w:rPr>
              <w:t>score = clamp(1, 10, int(i ÷ n × 10) + 1)</w:t>
            </w:r>
            <w:r>
              <w:t xml:space="preserve">. Because it is a percentile rank, the score is </w:t>
            </w:r>
            <w:r>
              <w:rPr>
                <w:b/>
              </w:rPr>
              <w:t>relative to whatever set of stocks is currently on screen</w:t>
            </w:r>
            <w:r>
              <w:t xml:space="preserve"> — the same company can score differently under different filters.</w:t>
            </w:r>
          </w:p>
        </w:tc>
      </w:tr>
    </w:tbl>
    <w:p>
      <w:r>
        <w:rPr>
          <w:b/>
        </w:rPr>
        <w:t>Academic reference:</w:t>
      </w:r>
      <w:r>
        <w:t xml:space="preserve"> See Appendix A — Jegadeesh &amp; Titman (1993).</w:t>
      </w:r>
    </w:p>
    <w:p>
      <w:pPr>
        <w:pBdr>
          <w:bottom w:val="single" w:sz="6" w:space="1" w:color="CCCCCC"/>
        </w:pBdr>
      </w:pPr>
    </w:p>
    <w:p>
      <w:pPr>
        <w:pStyle w:val="Heading4"/>
      </w:pPr>
      <w:bookmarkStart w:id="12" w:name="mh12"/>
      <w:r>
        <w:t>Quality Score (0–10)</w:t>
      </w:r>
      <w:bookmarkEnd w:id="12"/>
    </w:p>
    <w:p>
      <w:r>
        <w:rPr>
          <w:b/>
        </w:rPr>
        <w:t>What it measures:</w:t>
      </w:r>
      <w:r>
        <w:t xml:space="preserve"> How high and how consistent the company's returns and profit margins are.</w:t>
      </w:r>
    </w:p>
    <w:p>
      <w:r>
        <w:rPr>
          <w:b/>
        </w:rPr>
        <w:t>How it is calculated:</w:t>
      </w:r>
    </w:p>
    <w:p>
      <w:r>
        <w:t xml:space="preserve">The score awards up to 2 points for each of five business-quality measures. For each measure it runs </w:t>
      </w:r>
      <w:r>
        <w:rPr>
          <w:b/>
        </w:rPr>
        <w:t>two independent checks</w:t>
      </w:r>
      <w:r>
        <w:t xml:space="preserve">, each worth 1 point: one for clearing an </w:t>
      </w:r>
      <w:r>
        <w:rPr>
          <w:i/>
        </w:rPr>
        <w:t>absolute</w:t>
      </w:r>
      <w:r>
        <w:t xml:space="preserve"> threshold (a genuinely good level), and one for being </w:t>
      </w:r>
      <w:r>
        <w:rPr>
          <w:i/>
        </w:rPr>
        <w:t>at or above the median</w:t>
      </w:r>
      <w:r>
        <w:t xml:space="preserve"> of the stocks currently on screen (better than the typical peer). A company can therefore score a point for being good in absolute terms, a point for being better than its peers, both, or neither.</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E7ECF3"/>
          </w:tcPr>
          <w:p>
            <w:r>
              <w:rPr>
                <w:b/>
              </w:rPr>
            </w:r>
            <w:r>
              <w:rPr>
                <w:b/>
              </w:rPr>
            </w:r>
            <w:r>
              <w:rPr>
                <w:b/>
              </w:rPr>
              <w:t>Measure</w:t>
            </w:r>
          </w:p>
        </w:tc>
        <w:tc>
          <w:tcPr>
            <w:tcW w:type="dxa" w:w="2160"/>
            <w:shd w:val="clear" w:color="auto" w:fill="E7ECF3"/>
          </w:tcPr>
          <w:p>
            <w:r>
              <w:rPr>
                <w:b/>
              </w:rPr>
            </w:r>
            <w:r>
              <w:rPr>
                <w:b/>
              </w:rPr>
            </w:r>
            <w:r>
              <w:rPr>
                <w:b/>
              </w:rPr>
              <w:t>+1 if absolute level is…</w:t>
            </w:r>
          </w:p>
        </w:tc>
        <w:tc>
          <w:tcPr>
            <w:tcW w:type="dxa" w:w="2160"/>
            <w:shd w:val="clear" w:color="auto" w:fill="E7ECF3"/>
          </w:tcPr>
          <w:p>
            <w:r>
              <w:rPr>
                <w:b/>
              </w:rPr>
            </w:r>
            <w:r>
              <w:rPr>
                <w:b/>
              </w:rPr>
            </w:r>
            <w:r>
              <w:rPr>
                <w:b/>
              </w:rPr>
              <w:t>+1 if relative level is…</w:t>
            </w:r>
          </w:p>
        </w:tc>
        <w:tc>
          <w:tcPr>
            <w:tcW w:type="dxa" w:w="2160"/>
            <w:shd w:val="clear" w:color="auto" w:fill="E7ECF3"/>
          </w:tcPr>
          <w:p>
            <w:r>
              <w:rPr>
                <w:b/>
              </w:rPr>
            </w:r>
            <w:r>
              <w:rPr>
                <w:b/>
              </w:rPr>
            </w:r>
            <w:r>
              <w:rPr>
                <w:b/>
              </w:rPr>
              <w:t>Max</w:t>
            </w:r>
          </w:p>
        </w:tc>
      </w:tr>
      <w:tr>
        <w:tc>
          <w:tcPr>
            <w:tcW w:type="dxa" w:w="2160"/>
          </w:tcPr>
          <w:p>
            <w:r/>
            <w:r>
              <w:rPr>
                <w:b/>
              </w:rPr>
              <w:t>ROIC</w:t>
            </w:r>
          </w:p>
        </w:tc>
        <w:tc>
          <w:tcPr>
            <w:tcW w:type="dxa" w:w="2160"/>
          </w:tcPr>
          <w:p>
            <w:r/>
            <w:r>
              <w:t>greater than 10%</w:t>
            </w:r>
          </w:p>
        </w:tc>
        <w:tc>
          <w:tcPr>
            <w:tcW w:type="dxa" w:w="2160"/>
          </w:tcPr>
          <w:p>
            <w:r/>
            <w:r>
              <w:t>at or above the universe median ROIC</w:t>
            </w:r>
          </w:p>
        </w:tc>
        <w:tc>
          <w:tcPr>
            <w:tcW w:type="dxa" w:w="2160"/>
          </w:tcPr>
          <w:p>
            <w:r/>
            <w:r>
              <w:t>2</w:t>
            </w:r>
          </w:p>
        </w:tc>
      </w:tr>
      <w:tr>
        <w:tc>
          <w:tcPr>
            <w:tcW w:type="dxa" w:w="2160"/>
          </w:tcPr>
          <w:p>
            <w:r/>
            <w:r>
              <w:rPr>
                <w:b/>
              </w:rPr>
              <w:t>ROE</w:t>
            </w:r>
          </w:p>
        </w:tc>
        <w:tc>
          <w:tcPr>
            <w:tcW w:type="dxa" w:w="2160"/>
          </w:tcPr>
          <w:p>
            <w:r/>
            <w:r>
              <w:t>greater than 15%</w:t>
            </w:r>
          </w:p>
        </w:tc>
        <w:tc>
          <w:tcPr>
            <w:tcW w:type="dxa" w:w="2160"/>
          </w:tcPr>
          <w:p>
            <w:r/>
            <w:r>
              <w:t>at or above the universe median ROE</w:t>
            </w:r>
          </w:p>
        </w:tc>
        <w:tc>
          <w:tcPr>
            <w:tcW w:type="dxa" w:w="2160"/>
          </w:tcPr>
          <w:p>
            <w:r/>
            <w:r>
              <w:t>2</w:t>
            </w:r>
          </w:p>
        </w:tc>
      </w:tr>
      <w:tr>
        <w:tc>
          <w:tcPr>
            <w:tcW w:type="dxa" w:w="2160"/>
          </w:tcPr>
          <w:p>
            <w:r/>
            <w:r>
              <w:rPr>
                <w:b/>
              </w:rPr>
              <w:t>Gross Margin</w:t>
            </w:r>
          </w:p>
        </w:tc>
        <w:tc>
          <w:tcPr>
            <w:tcW w:type="dxa" w:w="2160"/>
          </w:tcPr>
          <w:p>
            <w:r/>
            <w:r>
              <w:t>greater than 30%</w:t>
            </w:r>
          </w:p>
        </w:tc>
        <w:tc>
          <w:tcPr>
            <w:tcW w:type="dxa" w:w="2160"/>
          </w:tcPr>
          <w:p>
            <w:r/>
            <w:r>
              <w:t>at or above the universe median gross margin</w:t>
            </w:r>
          </w:p>
        </w:tc>
        <w:tc>
          <w:tcPr>
            <w:tcW w:type="dxa" w:w="2160"/>
          </w:tcPr>
          <w:p>
            <w:r/>
            <w:r>
              <w:t>2</w:t>
            </w:r>
          </w:p>
        </w:tc>
      </w:tr>
      <w:tr>
        <w:tc>
          <w:tcPr>
            <w:tcW w:type="dxa" w:w="2160"/>
          </w:tcPr>
          <w:p>
            <w:r/>
            <w:r>
              <w:rPr>
                <w:b/>
              </w:rPr>
              <w:t>Operating Margin</w:t>
            </w:r>
          </w:p>
        </w:tc>
        <w:tc>
          <w:tcPr>
            <w:tcW w:type="dxa" w:w="2160"/>
          </w:tcPr>
          <w:p>
            <w:r/>
            <w:r>
              <w:t>greater than 10%</w:t>
            </w:r>
          </w:p>
        </w:tc>
        <w:tc>
          <w:tcPr>
            <w:tcW w:type="dxa" w:w="2160"/>
          </w:tcPr>
          <w:p>
            <w:r/>
            <w:r>
              <w:t>at or above the universe median operating margin</w:t>
            </w:r>
          </w:p>
        </w:tc>
        <w:tc>
          <w:tcPr>
            <w:tcW w:type="dxa" w:w="2160"/>
          </w:tcPr>
          <w:p>
            <w:r/>
            <w:r>
              <w:t>2</w:t>
            </w:r>
          </w:p>
        </w:tc>
      </w:tr>
      <w:tr>
        <w:tc>
          <w:tcPr>
            <w:tcW w:type="dxa" w:w="2160"/>
          </w:tcPr>
          <w:p>
            <w:r/>
            <w:r>
              <w:rPr>
                <w:b/>
              </w:rPr>
              <w:t>Cash / Net profitability</w:t>
            </w:r>
          </w:p>
        </w:tc>
        <w:tc>
          <w:tcPr>
            <w:tcW w:type="dxa" w:w="2160"/>
          </w:tcPr>
          <w:p>
            <w:r/>
            <w:r>
              <w:t>FCF Margin greater than 5%</w:t>
            </w:r>
          </w:p>
        </w:tc>
        <w:tc>
          <w:tcPr>
            <w:tcW w:type="dxa" w:w="2160"/>
          </w:tcPr>
          <w:p>
            <w:r/>
            <w:r>
              <w:t>Net Margin at or above the universe median</w:t>
            </w:r>
          </w:p>
        </w:tc>
        <w:tc>
          <w:tcPr>
            <w:tcW w:type="dxa" w:w="2160"/>
          </w:tcPr>
          <w:p>
            <w:r/>
            <w:r>
              <w:t>2</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Note on the relative checks:</w:t>
            </w:r>
            <w:r>
              <w:t xml:space="preserve"> "Median of the universe" means the median across the stocks currently passing your screen, so — like Momentum — the relative half of the Quality score shifts slightly depending on which filters are active. The absolute half never moves.</w:t>
            </w:r>
          </w:p>
        </w:tc>
      </w:tr>
    </w:tbl>
    <w:p>
      <w:r>
        <w:rPr>
          <w:b/>
        </w:rPr>
        <w:t>Key terms:</w:t>
      </w:r>
    </w:p>
    <w:p>
      <w:pPr>
        <w:spacing w:after="40"/>
        <w:ind w:left="360"/>
      </w:pPr>
      <w:r>
        <w:t xml:space="preserve">• </w:t>
      </w:r>
      <w:r>
        <w:rPr>
          <w:b/>
        </w:rPr>
        <w:t>ROIC (Return on Invested Capital):</w:t>
      </w:r>
      <w:r>
        <w:t xml:space="preserve"> Profit generated for every £1 of capital invested in the business. It is the best single measure of business quality — a high ROIC means the company has a competitive advantage (a "moat") that lets it earn outsized returns.</w:t>
      </w:r>
    </w:p>
    <w:p>
      <w:pPr>
        <w:spacing w:after="40"/>
        <w:ind w:left="360"/>
      </w:pPr>
      <w:r>
        <w:t xml:space="preserve">• </w:t>
      </w:r>
      <w:r>
        <w:rPr>
          <w:b/>
        </w:rPr>
        <w:t>Gross Margin:</w:t>
      </w:r>
      <w:r>
        <w:t xml:space="preserve"> Revenue minus the direct cost of making goods/services, as a percentage of revenue. A high gross margin (e.g. 70%+ in software, 40%+ in consumer brands) means pricing power.</w:t>
      </w:r>
    </w:p>
    <w:p>
      <w:pPr>
        <w:spacing w:after="40"/>
        <w:ind w:left="360"/>
      </w:pPr>
      <w:r>
        <w:t xml:space="preserve">• </w:t>
      </w:r>
      <w:r>
        <w:rPr>
          <w:b/>
        </w:rPr>
        <w:t>Operating Margin:</w:t>
      </w:r>
      <w:r>
        <w:t xml:space="preserve"> Profit after all running costs but before interest and tax. Shows how efficiently the business is run day-to-day.</w:t>
      </w:r>
    </w:p>
    <w:p>
      <w:pPr>
        <w:spacing w:after="40"/>
        <w:ind w:left="360"/>
      </w:pPr>
      <w:r>
        <w:t xml:space="preserve">• </w:t>
      </w:r>
      <w:r>
        <w:rPr>
          <w:b/>
        </w:rPr>
        <w:t>FCF Margin (Free Cash Flow Margin):</w:t>
      </w:r>
      <w:r>
        <w:t xml:space="preserve"> The cash actually generated after all capital expenditure, as a percentage of revenue. Cash is harder to manipulate than reported profit — this is often considered the most reliable profitability measure.</w:t>
      </w:r>
    </w:p>
    <w:p>
      <w:r>
        <w:rPr>
          <w:b/>
        </w:rPr>
        <w:t>Worked example:</w:t>
      </w:r>
      <w:r>
        <w:t xml:space="preserve"> A software company has ROIC 18%, ROE 22%, gross margin 78%, operating margin 24%, FCF margin 19%, and beats the universe median on ROIC, ROE, gross margin and net margin (but its operating margin is a touch below the median). It scores: ROIC 1+1, ROE 1+1, GM 1+1, OM 1+0, Cash/Net 1+1 = </w:t>
      </w:r>
      <w:r>
        <w:rPr>
          <w:b/>
        </w:rPr>
        <w:t>9 out of 10</w:t>
      </w:r>
      <w:r>
        <w:t xml:space="preserve"> — a genuinely high-quality business.</w:t>
      </w:r>
    </w:p>
    <w:p>
      <w:r>
        <w:rPr>
          <w:b/>
        </w:rPr>
        <w:t>What to look for:</w:t>
      </w:r>
      <w:r>
        <w:t xml:space="preserve"> A score of 7+ indicates a genuinely high-quality business. These companies tend to outperform over long periods because their superior returns compound capital more effectively.</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Under the hood — Quality (0–10)</w:t>
            </w:r>
            <w:r>
              <w:t xml:space="preserve"> Additive; each of the ten checks below adds 1 point. A measure that is missing in the data simply scores 0 for its checks (it is not penalised further).</w:t>
            </w:r>
          </w:p>
          <w:p>
            <w:pPr>
              <w:spacing w:after="40"/>
              <w:ind w:left="360"/>
            </w:pPr>
            <w:r>
              <w:t xml:space="preserve">• </w:t>
            </w:r>
            <w:r>
              <w:t xml:space="preserve">ROIC </w:t>
            </w:r>
            <w:r>
              <w:rPr>
                <w:rFonts w:ascii="Consolas" w:hAnsi="Consolas"/>
                <w:color w:val="B11A4B"/>
              </w:rPr>
              <w:t>&gt; 0.10</w:t>
            </w:r>
            <w:r>
              <w:t xml:space="preserve">; and ROIC </w:t>
            </w:r>
            <w:r>
              <w:rPr>
                <w:rFonts w:ascii="Consolas" w:hAnsi="Consolas"/>
                <w:color w:val="B11A4B"/>
              </w:rPr>
              <w:t>≥</w:t>
            </w:r>
            <w:r>
              <w:t xml:space="preserve"> median ROIC</w:t>
            </w:r>
          </w:p>
          <w:p>
            <w:pPr>
              <w:spacing w:after="40"/>
              <w:ind w:left="360"/>
            </w:pPr>
            <w:r>
              <w:t xml:space="preserve">• </w:t>
            </w:r>
            <w:r>
              <w:t xml:space="preserve">ROE </w:t>
            </w:r>
            <w:r>
              <w:rPr>
                <w:rFonts w:ascii="Consolas" w:hAnsi="Consolas"/>
                <w:color w:val="B11A4B"/>
              </w:rPr>
              <w:t>&gt; 0.15</w:t>
            </w:r>
            <w:r>
              <w:t xml:space="preserve">; and ROE </w:t>
            </w:r>
            <w:r>
              <w:rPr>
                <w:rFonts w:ascii="Consolas" w:hAnsi="Consolas"/>
                <w:color w:val="B11A4B"/>
              </w:rPr>
              <w:t>≥</w:t>
            </w:r>
            <w:r>
              <w:t xml:space="preserve"> median ROE</w:t>
            </w:r>
          </w:p>
          <w:p>
            <w:pPr>
              <w:spacing w:after="40"/>
              <w:ind w:left="360"/>
            </w:pPr>
            <w:r>
              <w:t xml:space="preserve">• </w:t>
            </w:r>
            <w:r>
              <w:t xml:space="preserve">Gross margin </w:t>
            </w:r>
            <w:r>
              <w:rPr>
                <w:rFonts w:ascii="Consolas" w:hAnsi="Consolas"/>
                <w:color w:val="B11A4B"/>
              </w:rPr>
              <w:t>&gt; 0.30</w:t>
            </w:r>
            <w:r>
              <w:t xml:space="preserve">; and gross margin </w:t>
            </w:r>
            <w:r>
              <w:rPr>
                <w:rFonts w:ascii="Consolas" w:hAnsi="Consolas"/>
                <w:color w:val="B11A4B"/>
              </w:rPr>
              <w:t>≥</w:t>
            </w:r>
            <w:r>
              <w:t xml:space="preserve"> median gross margin</w:t>
            </w:r>
          </w:p>
          <w:p>
            <w:pPr>
              <w:spacing w:after="40"/>
              <w:ind w:left="360"/>
            </w:pPr>
            <w:r>
              <w:t xml:space="preserve">• </w:t>
            </w:r>
            <w:r>
              <w:t xml:space="preserve">Operating margin </w:t>
            </w:r>
            <w:r>
              <w:rPr>
                <w:rFonts w:ascii="Consolas" w:hAnsi="Consolas"/>
                <w:color w:val="B11A4B"/>
              </w:rPr>
              <w:t>&gt; 0.10</w:t>
            </w:r>
            <w:r>
              <w:t xml:space="preserve">; and operating margin </w:t>
            </w:r>
            <w:r>
              <w:rPr>
                <w:rFonts w:ascii="Consolas" w:hAnsi="Consolas"/>
                <w:color w:val="B11A4B"/>
              </w:rPr>
              <w:t>≥</w:t>
            </w:r>
            <w:r>
              <w:t xml:space="preserve"> median operating margin</w:t>
            </w:r>
          </w:p>
          <w:p>
            <w:pPr>
              <w:spacing w:after="40"/>
              <w:ind w:left="360"/>
            </w:pPr>
            <w:r>
              <w:t xml:space="preserve">• </w:t>
            </w:r>
            <w:r>
              <w:t xml:space="preserve">FCF margin </w:t>
            </w:r>
            <w:r>
              <w:rPr>
                <w:rFonts w:ascii="Consolas" w:hAnsi="Consolas"/>
                <w:color w:val="B11A4B"/>
              </w:rPr>
              <w:t>&gt; 0.05</w:t>
            </w:r>
            <w:r>
              <w:t xml:space="preserve">; and </w:t>
            </w:r>
            <w:r>
              <w:rPr>
                <w:b/>
              </w:rPr>
              <w:t>net</w:t>
            </w:r>
            <w:r>
              <w:t xml:space="preserve"> margin </w:t>
            </w:r>
            <w:r>
              <w:rPr>
                <w:rFonts w:ascii="Consolas" w:hAnsi="Consolas"/>
                <w:color w:val="B11A4B"/>
              </w:rPr>
              <w:t>≥</w:t>
            </w:r>
            <w:r>
              <w:t xml:space="preserve"> median net margin</w:t>
            </w:r>
          </w:p>
          <w:p>
            <w:r>
              <w:t>All medians are taken across the result set currently on screen. ROIC is the single most important measure of business quality — it shows whether the company earns more than its cost of capital, the signature of a durable competitive "moat".</w:t>
            </w:r>
          </w:p>
        </w:tc>
      </w:tr>
    </w:tbl>
    <w:p>
      <w:pPr>
        <w:pBdr>
          <w:bottom w:val="single" w:sz="6" w:space="1" w:color="CCCCCC"/>
        </w:pBdr>
      </w:pPr>
    </w:p>
    <w:p>
      <w:pPr>
        <w:pStyle w:val="Heading4"/>
      </w:pPr>
      <w:bookmarkStart w:id="13" w:name="mh13"/>
      <w:r>
        <w:t>Piotroski F-Score (0–9) — the "Value" column</w:t>
      </w:r>
      <w:bookmarkEnd w:id="13"/>
    </w:p>
    <w:p>
      <w:r>
        <w:rPr>
          <w:b/>
        </w:rPr>
        <w:t>What it measures:</w:t>
      </w:r>
      <w:r>
        <w:t xml:space="preserve"> The fundamental financial health and improving momentum of a company. Originally designed to separate improving value stocks from deteriorating ones.</w:t>
      </w:r>
    </w:p>
    <w:p>
      <w:r>
        <w:rPr>
          <w:b/>
        </w:rPr>
        <w:t>How it is calculated:</w:t>
      </w:r>
    </w:p>
    <w:p>
      <w:r>
        <w:t>9 binary tests (each scores 0 or 1):</w:t>
      </w:r>
    </w:p>
    <w:p>
      <w:r>
        <w:rPr>
          <w:b/>
        </w:rPr>
        <w:t>Profitability (3 points)</w:t>
      </w:r>
    </w:p>
    <w:p>
      <w:pPr>
        <w:spacing w:after="40"/>
        <w:ind w:left="360"/>
      </w:pPr>
      <w:r>
        <w:t xml:space="preserve">1. </w:t>
      </w:r>
      <w:r>
        <w:t>Is Return on Assets (ROA) positive? (Is the company actually profitable relative to its assets?)</w:t>
      </w:r>
    </w:p>
    <w:p>
      <w:pPr>
        <w:spacing w:after="40"/>
        <w:ind w:left="360"/>
      </w:pPr>
      <w:r>
        <w:t xml:space="preserve">2. </w:t>
      </w:r>
      <w:r>
        <w:t>Is Operating Cash Flow positive? (Is the business generating real cash?)</w:t>
      </w:r>
    </w:p>
    <w:p>
      <w:pPr>
        <w:spacing w:after="40"/>
        <w:ind w:left="360"/>
      </w:pPr>
      <w:r>
        <w:t xml:space="preserve">3. </w:t>
      </w:r>
      <w:r>
        <w:t>Is ROA higher this year than last year? (Is profitability improving?)</w:t>
      </w:r>
    </w:p>
    <w:p>
      <w:r>
        <w:rPr>
          <w:b/>
        </w:rPr>
        <w:t>Earnings Quality (1 point)</w:t>
      </w:r>
    </w:p>
    <w:p>
      <w:pPr>
        <w:spacing w:after="40"/>
        <w:ind w:left="360"/>
      </w:pPr>
      <w:r>
        <w:t xml:space="preserve">4. </w:t>
      </w:r>
      <w:r>
        <w:t>Is Operating Cash Flow greater than Net Income? (Is profit backed by cash, not accounting entries?)</w:t>
      </w:r>
    </w:p>
    <w:p>
      <w:r>
        <w:rPr>
          <w:b/>
        </w:rPr>
        <w:t>Leverage &amp; Liquidity (2 points)</w:t>
      </w:r>
    </w:p>
    <w:p>
      <w:pPr>
        <w:spacing w:after="40"/>
        <w:ind w:left="360"/>
      </w:pPr>
      <w:r>
        <w:t xml:space="preserve">5. </w:t>
      </w:r>
      <w:r>
        <w:t>Is the Debt/Equity ratio lower this year than last? (Is the balance sheet improving?)</w:t>
      </w:r>
    </w:p>
    <w:p>
      <w:pPr>
        <w:spacing w:after="40"/>
        <w:ind w:left="360"/>
      </w:pPr>
      <w:r>
        <w:t xml:space="preserve">6. </w:t>
      </w:r>
      <w:r>
        <w:t>Is the Current Ratio higher this year than last? (Is short-term financial health improving?)</w:t>
      </w:r>
    </w:p>
    <w:p>
      <w:r>
        <w:rPr>
          <w:b/>
        </w:rPr>
        <w:t>Dilution (1 point)</w:t>
      </w:r>
    </w:p>
    <w:p>
      <w:pPr>
        <w:spacing w:after="40"/>
        <w:ind w:left="360"/>
      </w:pPr>
      <w:r>
        <w:t xml:space="preserve">7. </w:t>
      </w:r>
      <w:r>
        <w:t>Has the share count stayed the same or fallen? (A rising share count dilutes existing shareholders.)</w:t>
      </w:r>
    </w:p>
    <w:p>
      <w:r>
        <w:rPr>
          <w:b/>
        </w:rPr>
        <w:t>Efficiency (2 points)</w:t>
      </w:r>
    </w:p>
    <w:p>
      <w:pPr>
        <w:spacing w:after="40"/>
        <w:ind w:left="360"/>
      </w:pPr>
      <w:r>
        <w:t xml:space="preserve">8. </w:t>
      </w:r>
      <w:r>
        <w:t>Is the Gross Margin higher this year than last? (Are margins expanding?)</w:t>
      </w:r>
    </w:p>
    <w:p>
      <w:pPr>
        <w:spacing w:after="40"/>
        <w:ind w:left="360"/>
      </w:pPr>
      <w:r>
        <w:t xml:space="preserve">9. </w:t>
      </w:r>
      <w:r>
        <w:t>Is Asset Turnover higher this year than last? (Is the company generating more revenue per £1 of assets?)</w:t>
      </w:r>
    </w:p>
    <w:p>
      <w:r>
        <w:rPr>
          <w:b/>
        </w:rPr>
        <w:t>What to look for:</w:t>
      </w:r>
    </w:p>
    <w:p>
      <w:pPr>
        <w:spacing w:after="40"/>
        <w:ind w:left="360"/>
      </w:pPr>
      <w:r>
        <w:t xml:space="preserve">• </w:t>
      </w:r>
      <w:r>
        <w:rPr>
          <w:b/>
        </w:rPr>
        <w:t>7–9:</w:t>
      </w:r>
      <w:r>
        <w:t xml:space="preserve"> Strong — the company is healthy and improving on most measures. Classic "buy" territory for value-oriented investors.</w:t>
      </w:r>
    </w:p>
    <w:p>
      <w:pPr>
        <w:spacing w:after="40"/>
        <w:ind w:left="360"/>
      </w:pPr>
      <w:r>
        <w:t xml:space="preserve">• </w:t>
      </w:r>
      <w:r>
        <w:rPr>
          <w:b/>
        </w:rPr>
        <w:t>4–6:</w:t>
      </w:r>
      <w:r>
        <w:t xml:space="preserve"> Mixed — some positives, some concerns. Read the detail.</w:t>
      </w:r>
    </w:p>
    <w:p>
      <w:pPr>
        <w:spacing w:after="40"/>
        <w:ind w:left="360"/>
      </w:pPr>
      <w:r>
        <w:t xml:space="preserve">• </w:t>
      </w:r>
      <w:r>
        <w:rPr>
          <w:b/>
        </w:rPr>
        <w:t>0–3:</w:t>
      </w:r>
      <w:r>
        <w:t xml:space="preserve"> Weak — multiple warning signs. Approach with caution.</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Under the hood — Piotroski F-Score (0–9)</w:t>
            </w:r>
            <w:r>
              <w:t xml:space="preserve"> Computed from the two most recent annual reports (current year "cur" vs prior year "prev"). Each test scores 1 if true, else 0; a test with missing data scores 0.</w:t>
            </w:r>
          </w:p>
          <w:p>
            <w:pPr>
              <w:spacing w:after="40"/>
              <w:ind w:left="360"/>
            </w:pPr>
            <w:r>
              <w:t xml:space="preserve">1. </w:t>
            </w:r>
            <w:r>
              <w:t xml:space="preserve">ROA(cur) </w:t>
            </w:r>
            <w:r>
              <w:rPr>
                <w:rFonts w:ascii="Consolas" w:hAnsi="Consolas"/>
                <w:color w:val="B11A4B"/>
              </w:rPr>
              <w:t>&gt; 0</w:t>
            </w:r>
          </w:p>
          <w:p>
            <w:pPr>
              <w:spacing w:after="40"/>
              <w:ind w:left="360"/>
            </w:pPr>
            <w:r>
              <w:t xml:space="preserve">2. </w:t>
            </w:r>
            <w:r>
              <w:t xml:space="preserve">Operating cash flow (CFO) </w:t>
            </w:r>
            <w:r>
              <w:rPr>
                <w:rFonts w:ascii="Consolas" w:hAnsi="Consolas"/>
                <w:color w:val="B11A4B"/>
              </w:rPr>
              <w:t>&gt; 0</w:t>
            </w:r>
          </w:p>
          <w:p>
            <w:pPr>
              <w:spacing w:after="40"/>
              <w:ind w:left="360"/>
            </w:pPr>
            <w:r>
              <w:t xml:space="preserve">3. </w:t>
            </w:r>
            <w:r>
              <w:t xml:space="preserve">ROA(cur) </w:t>
            </w:r>
            <w:r>
              <w:rPr>
                <w:rFonts w:ascii="Consolas" w:hAnsi="Consolas"/>
                <w:color w:val="B11A4B"/>
              </w:rPr>
              <w:t>&gt;</w:t>
            </w:r>
            <w:r>
              <w:t xml:space="preserve"> ROA(prev)</w:t>
            </w:r>
          </w:p>
          <w:p>
            <w:pPr>
              <w:spacing w:after="40"/>
              <w:ind w:left="360"/>
            </w:pPr>
            <w:r>
              <w:t xml:space="preserve">4. </w:t>
            </w:r>
            <w:r>
              <w:rPr>
                <w:rFonts w:ascii="Consolas" w:hAnsi="Consolas"/>
                <w:color w:val="B11A4B"/>
              </w:rPr>
              <w:t>CFO ÷ total assets &gt; ROA(cur)</w:t>
            </w:r>
            <w:r>
              <w:t xml:space="preserve"> — i.e. cash flow exceeds reported profit (accruals quality)</w:t>
            </w:r>
          </w:p>
          <w:p>
            <w:pPr>
              <w:spacing w:after="40"/>
              <w:ind w:left="360"/>
            </w:pPr>
            <w:r>
              <w:t xml:space="preserve">5. </w:t>
            </w:r>
            <w:r>
              <w:t xml:space="preserve">Debt/Equity(cur) </w:t>
            </w:r>
            <w:r>
              <w:rPr>
                <w:rFonts w:ascii="Consolas" w:hAnsi="Consolas"/>
                <w:color w:val="B11A4B"/>
              </w:rPr>
              <w:t>&lt;</w:t>
            </w:r>
            <w:r>
              <w:t xml:space="preserve"> Debt/Equity(prev)</w:t>
            </w:r>
          </w:p>
          <w:p>
            <w:pPr>
              <w:spacing w:after="40"/>
              <w:ind w:left="360"/>
            </w:pPr>
            <w:r>
              <w:t xml:space="preserve">6. </w:t>
            </w:r>
            <w:r>
              <w:t xml:space="preserve">Current ratio(cur) </w:t>
            </w:r>
            <w:r>
              <w:rPr>
                <w:rFonts w:ascii="Consolas" w:hAnsi="Consolas"/>
                <w:color w:val="B11A4B"/>
              </w:rPr>
              <w:t>&gt;</w:t>
            </w:r>
            <w:r>
              <w:t xml:space="preserve"> Current ratio(prev)</w:t>
            </w:r>
          </w:p>
          <w:p>
            <w:pPr>
              <w:spacing w:after="40"/>
              <w:ind w:left="360"/>
            </w:pPr>
            <w:r>
              <w:t xml:space="preserve">7. </w:t>
            </w:r>
            <w:r>
              <w:t xml:space="preserve">Diluted share count(cur) </w:t>
            </w:r>
            <w:r>
              <w:rPr>
                <w:rFonts w:ascii="Consolas" w:hAnsi="Consolas"/>
                <w:color w:val="B11A4B"/>
              </w:rPr>
              <w:t>≤</w:t>
            </w:r>
            <w:r>
              <w:t xml:space="preserve"> share count(prev) — no dilution</w:t>
            </w:r>
          </w:p>
          <w:p>
            <w:pPr>
              <w:spacing w:after="40"/>
              <w:ind w:left="360"/>
            </w:pPr>
            <w:r>
              <w:t xml:space="preserve">8. </w:t>
            </w:r>
            <w:r>
              <w:t xml:space="preserve">Gross margin(cur) </w:t>
            </w:r>
            <w:r>
              <w:rPr>
                <w:rFonts w:ascii="Consolas" w:hAnsi="Consolas"/>
                <w:color w:val="B11A4B"/>
              </w:rPr>
              <w:t>&gt;</w:t>
            </w:r>
            <w:r>
              <w:t xml:space="preserve"> Gross margin(prev)</w:t>
            </w:r>
          </w:p>
          <w:p>
            <w:pPr>
              <w:spacing w:after="40"/>
              <w:ind w:left="360"/>
            </w:pPr>
            <w:r>
              <w:t xml:space="preserve">9. </w:t>
            </w:r>
            <w:r>
              <w:t xml:space="preserve">Asset turnover up: </w:t>
            </w:r>
            <w:r>
              <w:rPr>
                <w:rFonts w:ascii="Consolas" w:hAnsi="Consolas"/>
                <w:color w:val="B11A4B"/>
              </w:rPr>
              <w:t>revenue(cur) ÷ assets(cur) &gt; revenue(prev) ÷ assets(prev)</w:t>
            </w:r>
          </w:p>
        </w:tc>
      </w:tr>
    </w:tbl>
    <w:p>
      <w:r>
        <w:rPr>
          <w:b/>
        </w:rPr>
        <w:t>Academic reference:</w:t>
      </w:r>
      <w:r>
        <w:t xml:space="preserve"> See Appendix A — Piotroski (2000).</w:t>
      </w:r>
    </w:p>
    <w:p>
      <w:pPr>
        <w:pBdr>
          <w:bottom w:val="single" w:sz="6" w:space="1" w:color="CCCCCC"/>
        </w:pBdr>
      </w:pPr>
    </w:p>
    <w:p>
      <w:pPr>
        <w:pStyle w:val="Heading4"/>
      </w:pPr>
      <w:bookmarkStart w:id="14" w:name="mh14"/>
      <w:r>
        <w:t>Risk Score (1–10)</w:t>
      </w:r>
      <w:bookmarkEnd w:id="14"/>
    </w:p>
    <w:p>
      <w:r>
        <w:rPr>
          <w:b/>
        </w:rPr>
        <w:t>What it measures:</w:t>
      </w:r>
      <w:r>
        <w:t xml:space="preserve"> A composite assessment of how likely you are to suffer a large, permanent loss — blending the company's </w:t>
      </w:r>
      <w:r>
        <w:rPr>
          <w:b/>
        </w:rPr>
        <w:t>financial-distress risk</w:t>
      </w:r>
      <w:r>
        <w:t xml:space="preserve"> with its </w:t>
      </w:r>
      <w:r>
        <w:rPr>
          <w:b/>
        </w:rPr>
        <w:t>share-price volatility</w:t>
      </w:r>
      <w:r>
        <w:t>. Lower is safer.</w:t>
      </w:r>
    </w:p>
    <w:p>
      <w:r>
        <w:rPr>
          <w:b/>
        </w:rPr>
        <w:t>How it is calculated — two different paths:</w:t>
      </w:r>
    </w:p>
    <w:p>
      <w:r>
        <w:t xml:space="preserve">The app uses </w:t>
      </w:r>
      <w:r>
        <w:rPr>
          <w:b/>
        </w:rPr>
        <w:t>two different recipes</w:t>
      </w:r>
      <w:r>
        <w:t xml:space="preserve"> depending on what kind of company it is, because the standard distress model (the Altman Z-Score) does not work for banks and insurers.</w:t>
      </w:r>
    </w:p>
    <w:p>
      <w:r>
        <w:rPr>
          <w:b/>
        </w:rPr>
        <w:t>Path 1 — Ordinary companies (60% Altman Z-Score + 40% Volatility):</w:t>
      </w:r>
    </w:p>
    <w:p>
      <w:r>
        <w:t xml:space="preserve">The </w:t>
      </w:r>
      <w:r>
        <w:rPr>
          <w:b/>
        </w:rPr>
        <w:t>Altman Z-Score</w:t>
      </w:r>
      <w:r>
        <w:t xml:space="preserve"> was developed in 1968 to predict corporate bankruptcy. It combines several balance-sheet and earnings ratios into a single number; a Z above 3.0 indicates a financially safe company, below ~1.8 suggests distress risk. The app converts the Z to a 1–10 component, computes a separate volatility component, and blends them 60/40.</w:t>
      </w:r>
    </w:p>
    <w:p>
      <w:r>
        <w:rPr>
          <w:b/>
        </w:rPr>
        <w:t>Path 2 — Financial companies, i.e. banks and insurers (60% Volatility + 40% ROE):</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Why financials are scored differently:</w:t>
            </w:r>
            <w:r>
              <w:t xml:space="preserve"> A bank's or insurer's balance sheet is </w:t>
            </w:r>
            <w:r>
              <w:rPr>
                <w:b/>
              </w:rPr>
              <w:t>leverage by design</w:t>
            </w:r>
            <w:r>
              <w:t xml:space="preserve"> — customer deposits and insurance policy liabilities are huge "debts" that are entirely normal for the business. Feed those into the Altman model and every term collapses, wrongly flagging even the safest bank as on the brink of bankruptcy (a risk score of 9 or 10). So for financials the app </w:t>
            </w:r>
            <w:r>
              <w:rPr>
                <w:b/>
              </w:rPr>
              <w:t>drops Altman entirely</w:t>
            </w:r>
            <w:r>
              <w:t xml:space="preserve"> and instead scores them on </w:t>
            </w:r>
            <w:r>
              <w:rPr>
                <w:b/>
              </w:rPr>
              <w:t>price volatility (60%)</w:t>
            </w:r>
            <w:r>
              <w:t xml:space="preserve"> plus a </w:t>
            </w:r>
            <w:r>
              <w:rPr>
                <w:b/>
              </w:rPr>
              <w:t>Return-on-Equity quality component (40%)</w:t>
            </w:r>
            <w:r>
              <w:t xml:space="preserve"> — a profitable, stable bank scores low-risk; a loss-making, volatile one scores high-risk. If ROE is missing, the score falls back to volatility alone.</w:t>
            </w:r>
          </w:p>
        </w:tc>
      </w:tr>
    </w:tbl>
    <w:p>
      <w:r>
        <w:t xml:space="preserve">The app detects a financial by its sector name (anything containing "financ", "bank", or "insurance"). On the Health tab, financials show </w:t>
      </w:r>
      <w:r>
        <w:rPr>
          <w:b/>
        </w:rPr>
        <w:t>no Altman gauge</w:t>
      </w:r>
      <w:r>
        <w:t xml:space="preserve"> because it is not used for them.</w:t>
      </w:r>
    </w:p>
    <w:p>
      <w:r>
        <w:rPr>
          <w:b/>
        </w:rPr>
        <w:t>Worked example (an insurer):</w:t>
      </w:r>
      <w:r>
        <w:t xml:space="preserve"> Aviva has annualised volatility of ~22% (volatility component 4) and ROE of ~12% (ROE component ≈ 3.6 → 4). Financial risk = round(0.6 × 4 + 0.4 × 4) = </w:t>
      </w:r>
      <w:r>
        <w:rPr>
          <w:b/>
        </w:rPr>
        <w:t>4</w:t>
      </w:r>
      <w:r>
        <w:t xml:space="preserve"> — a moderate, sensible reading, instead of the false "10" the Altman model would have produced.</w:t>
      </w:r>
    </w:p>
    <w:p>
      <w:r>
        <w:rPr>
          <w:b/>
        </w:rPr>
        <w:t>What to look for:</w:t>
      </w:r>
      <w:r>
        <w:t xml:space="preserve"> For capital preservation, filter for Risk Score ≤ 4. Scores of 7+ warrant serious investigation into the balance sheet (ordinary companies) or the earnings stability (financials) before investing.</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Under the hood — Risk Score (1–10)</w:t>
            </w:r>
          </w:p>
          <w:p>
            <w:r>
              <w:rPr>
                <w:b/>
              </w:rPr>
              <w:t>Volatility component</w:t>
            </w:r>
            <w:r>
              <w:t xml:space="preserve"> (used in both paths): annualised volatility </w:t>
            </w:r>
            <w:r>
              <w:rPr>
                <w:rFonts w:ascii="Consolas" w:hAnsi="Consolas"/>
                <w:color w:val="B11A4B"/>
              </w:rPr>
              <w:t>σ = stdev(daily log returns) × √252</w:t>
            </w:r>
            <w:r>
              <w:t>, using the sample standard deviation over up to the last 252 daily closes (needs at least 63 closes, else blank). Mapped to 1–10 by absolute thresholds: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Ann. volatility</w:t>
                  </w:r>
                </w:p>
              </w:tc>
              <w:tc>
                <w:tcPr>
                  <w:tcW w:type="dxa" w:w="4320"/>
                  <w:shd w:val="clear" w:color="auto" w:fill="E7ECF3"/>
                </w:tcPr>
                <w:p>
                  <w:r>
                    <w:rPr>
                      <w:b/>
                    </w:rPr>
                  </w:r>
                  <w:r>
                    <w:rPr>
                      <w:b/>
                    </w:rPr>
                  </w:r>
                  <w:r>
                    <w:rPr>
                      <w:b/>
                    </w:rPr>
                    <w:t>Component</w:t>
                  </w:r>
                </w:p>
              </w:tc>
            </w:tr>
            <w:tr>
              <w:tc>
                <w:tcPr>
                  <w:tcW w:type="dxa" w:w="4320"/>
                </w:tcPr>
                <w:p>
                  <w:r/>
                  <w:r>
                    <w:t>&lt; 10%</w:t>
                  </w:r>
                </w:p>
              </w:tc>
              <w:tc>
                <w:tcPr>
                  <w:tcW w:type="dxa" w:w="4320"/>
                </w:tcPr>
                <w:p>
                  <w:r/>
                  <w:r>
                    <w:t>1</w:t>
                  </w:r>
                </w:p>
              </w:tc>
            </w:tr>
            <w:tr>
              <w:tc>
                <w:tcPr>
                  <w:tcW w:type="dxa" w:w="4320"/>
                </w:tcPr>
                <w:p>
                  <w:r/>
                  <w:r>
                    <w:t>&lt; 15%</w:t>
                  </w:r>
                </w:p>
              </w:tc>
              <w:tc>
                <w:tcPr>
                  <w:tcW w:type="dxa" w:w="4320"/>
                </w:tcPr>
                <w:p>
                  <w:r/>
                  <w:r>
                    <w:t>2</w:t>
                  </w:r>
                </w:p>
              </w:tc>
            </w:tr>
            <w:tr>
              <w:tc>
                <w:tcPr>
                  <w:tcW w:type="dxa" w:w="4320"/>
                </w:tcPr>
                <w:p>
                  <w:r/>
                  <w:r>
                    <w:t>&lt; 20%</w:t>
                  </w:r>
                </w:p>
              </w:tc>
              <w:tc>
                <w:tcPr>
                  <w:tcW w:type="dxa" w:w="4320"/>
                </w:tcPr>
                <w:p>
                  <w:r/>
                  <w:r>
                    <w:t>3</w:t>
                  </w:r>
                </w:p>
              </w:tc>
            </w:tr>
            <w:tr>
              <w:tc>
                <w:tcPr>
                  <w:tcW w:type="dxa" w:w="4320"/>
                </w:tcPr>
                <w:p>
                  <w:r/>
                  <w:r>
                    <w:t>&lt; 25%</w:t>
                  </w:r>
                </w:p>
              </w:tc>
              <w:tc>
                <w:tcPr>
                  <w:tcW w:type="dxa" w:w="4320"/>
                </w:tcPr>
                <w:p>
                  <w:r/>
                  <w:r>
                    <w:t>4</w:t>
                  </w:r>
                </w:p>
              </w:tc>
            </w:tr>
            <w:tr>
              <w:tc>
                <w:tcPr>
                  <w:tcW w:type="dxa" w:w="4320"/>
                </w:tcPr>
                <w:p>
                  <w:r/>
                  <w:r>
                    <w:t>&lt; 30%</w:t>
                  </w:r>
                </w:p>
              </w:tc>
              <w:tc>
                <w:tcPr>
                  <w:tcW w:type="dxa" w:w="4320"/>
                </w:tcPr>
                <w:p>
                  <w:r/>
                  <w:r>
                    <w:t>5</w:t>
                  </w:r>
                </w:p>
              </w:tc>
            </w:tr>
            <w:tr>
              <w:tc>
                <w:tcPr>
                  <w:tcW w:type="dxa" w:w="4320"/>
                </w:tcPr>
                <w:p>
                  <w:r/>
                  <w:r>
                    <w:t>&lt; 35%</w:t>
                  </w:r>
                </w:p>
              </w:tc>
              <w:tc>
                <w:tcPr>
                  <w:tcW w:type="dxa" w:w="4320"/>
                </w:tcPr>
                <w:p>
                  <w:r/>
                  <w:r>
                    <w:t>6</w:t>
                  </w:r>
                </w:p>
              </w:tc>
            </w:tr>
            <w:tr>
              <w:tc>
                <w:tcPr>
                  <w:tcW w:type="dxa" w:w="4320"/>
                </w:tcPr>
                <w:p>
                  <w:r/>
                  <w:r>
                    <w:t>&lt; 40%</w:t>
                  </w:r>
                </w:p>
              </w:tc>
              <w:tc>
                <w:tcPr>
                  <w:tcW w:type="dxa" w:w="4320"/>
                </w:tcPr>
                <w:p>
                  <w:r/>
                  <w:r>
                    <w:t>7</w:t>
                  </w:r>
                </w:p>
              </w:tc>
            </w:tr>
            <w:tr>
              <w:tc>
                <w:tcPr>
                  <w:tcW w:type="dxa" w:w="4320"/>
                </w:tcPr>
                <w:p>
                  <w:r/>
                  <w:r>
                    <w:t>&lt; 50%</w:t>
                  </w:r>
                </w:p>
              </w:tc>
              <w:tc>
                <w:tcPr>
                  <w:tcW w:type="dxa" w:w="4320"/>
                </w:tcPr>
                <w:p>
                  <w:r/>
                  <w:r>
                    <w:t>8</w:t>
                  </w:r>
                </w:p>
              </w:tc>
            </w:tr>
            <w:tr>
              <w:tc>
                <w:tcPr>
                  <w:tcW w:type="dxa" w:w="4320"/>
                </w:tcPr>
                <w:p>
                  <w:r/>
                  <w:r>
                    <w:t>&lt; 60%</w:t>
                  </w:r>
                </w:p>
              </w:tc>
              <w:tc>
                <w:tcPr>
                  <w:tcW w:type="dxa" w:w="4320"/>
                </w:tcPr>
                <w:p>
                  <w:r/>
                  <w:r>
                    <w:t>9</w:t>
                  </w:r>
                </w:p>
              </w:tc>
            </w:tr>
            <w:tr>
              <w:tc>
                <w:tcPr>
                  <w:tcW w:type="dxa" w:w="4320"/>
                </w:tcPr>
                <w:p>
                  <w:r/>
                  <w:r>
                    <w:t>≥ 60%</w:t>
                  </w:r>
                </w:p>
              </w:tc>
              <w:tc>
                <w:tcPr>
                  <w:tcW w:type="dxa" w:w="4320"/>
                </w:tcPr>
                <w:p>
                  <w:r/>
                  <w:r>
                    <w:t>10</w:t>
                  </w:r>
                </w:p>
              </w:tc>
            </w:tr>
          </w:tbl>
          <w:p/>
          <w:p>
            <w:r>
              <w:rPr>
                <w:b/>
              </w:rPr>
              <w:t>Altman component</w:t>
            </w:r>
            <w:r>
              <w:t xml:space="preserve"> (ordinary companies only): the app builds the Z from stored data, treating working capital (the X1 term) as 0 because it is unavailable, using book equity (market cap ÷ price-to-book) as a retained-earnings proxy, and operating income (operating margin × revenue) as the EBIT proxy: </w:t>
            </w:r>
            <w:r>
              <w:rPr>
                <w:rFonts w:ascii="Consolas" w:hAnsi="Consolas"/>
                <w:color w:val="B11A4B"/>
              </w:rPr>
              <w:t>Z = 1.4·(equity/assets) + 3.3·(EBIT/assets) + 0.6·(mktcap/liabilities) + 1.0·(revenue/assets)</w:t>
            </w:r>
            <w:r>
              <w:t xml:space="preserve">. Then Z→component: </w:t>
            </w:r>
            <w:r>
              <w:rPr>
                <w:rFonts w:ascii="Consolas" w:hAnsi="Consolas"/>
                <w:color w:val="B11A4B"/>
              </w:rPr>
              <w:t>Z ≥ 3.0 → 1</w:t>
            </w:r>
            <w:r>
              <w:t xml:space="preserve">, </w:t>
            </w:r>
            <w:r>
              <w:rPr>
                <w:rFonts w:ascii="Consolas" w:hAnsi="Consolas"/>
                <w:color w:val="B11A4B"/>
              </w:rPr>
              <w:t>Z ≤ 1.0 → 10</w:t>
            </w:r>
            <w:r>
              <w:t xml:space="preserve">, linear between as </w:t>
            </w:r>
            <w:r>
              <w:rPr>
                <w:rFonts w:ascii="Consolas" w:hAnsi="Consolas"/>
                <w:color w:val="B11A4B"/>
              </w:rPr>
              <w:t>round(1 + (3.0 − Z) × 4.5)</w:t>
            </w:r>
            <w:r>
              <w:t>.</w:t>
            </w:r>
          </w:p>
          <w:p>
            <w:r>
              <w:rPr>
                <w:b/>
              </w:rPr>
              <w:t>ROE component</w:t>
            </w:r>
            <w:r>
              <w:t xml:space="preserve"> (financials only): </w:t>
            </w:r>
            <w:r>
              <w:rPr>
                <w:rFonts w:ascii="Consolas" w:hAnsi="Consolas"/>
                <w:color w:val="B11A4B"/>
              </w:rPr>
              <w:t>ROE ≥ 15% → 2</w:t>
            </w:r>
            <w:r>
              <w:t xml:space="preserve">, </w:t>
            </w:r>
            <w:r>
              <w:rPr>
                <w:rFonts w:ascii="Consolas" w:hAnsi="Consolas"/>
                <w:color w:val="B11A4B"/>
              </w:rPr>
              <w:t>ROE ≤ 0% → 10</w:t>
            </w:r>
            <w:r>
              <w:t xml:space="preserve">, linear between as </w:t>
            </w:r>
            <w:r>
              <w:rPr>
                <w:rFonts w:ascii="Consolas" w:hAnsi="Consolas"/>
                <w:color w:val="B11A4B"/>
              </w:rPr>
              <w:t>round(2 + (0.15 − ROE) × (8 / 0.15))</w:t>
            </w:r>
            <w:r>
              <w:t>. Floored at 2 because ROE alone is a coarse proxy.</w:t>
            </w:r>
          </w:p>
          <w:p>
            <w:r>
              <w:rPr>
                <w:b/>
              </w:rPr>
              <w:t>Final blend (clamped to 1–10):</w:t>
            </w:r>
          </w:p>
          <w:p>
            <w:pPr>
              <w:spacing w:after="40"/>
              <w:ind w:left="360"/>
            </w:pPr>
            <w:r>
              <w:t xml:space="preserve">• </w:t>
            </w:r>
            <w:r>
              <w:t xml:space="preserve">Ordinary: </w:t>
            </w:r>
            <w:r>
              <w:rPr>
                <w:rFonts w:ascii="Consolas" w:hAnsi="Consolas"/>
                <w:color w:val="B11A4B"/>
              </w:rPr>
              <w:t>round(0.6 × Altman_component + 0.4 × Vol_component)</w:t>
            </w:r>
          </w:p>
          <w:p>
            <w:pPr>
              <w:spacing w:after="40"/>
              <w:ind w:left="360"/>
            </w:pPr>
            <w:r>
              <w:t xml:space="preserve">• </w:t>
            </w:r>
            <w:r>
              <w:t xml:space="preserve">Financial: </w:t>
            </w:r>
            <w:r>
              <w:rPr>
                <w:rFonts w:ascii="Consolas" w:hAnsi="Consolas"/>
                <w:color w:val="B11A4B"/>
              </w:rPr>
              <w:t>round(0.6 × Vol_component + 0.4 × ROE_component)</w:t>
            </w:r>
          </w:p>
          <w:p>
            <w:pPr>
              <w:spacing w:after="40"/>
              <w:ind w:left="360"/>
            </w:pPr>
            <w:r>
              <w:t xml:space="preserve">• </w:t>
            </w:r>
            <w:r>
              <w:t>Either path falls back to whichever single component is available if the other is missing.</w:t>
            </w:r>
          </w:p>
          <w:p/>
        </w:tc>
      </w:tr>
    </w:tbl>
    <w:p>
      <w:r>
        <w:rPr>
          <w:b/>
        </w:rPr>
        <w:t>Academic reference:</w:t>
      </w:r>
      <w:r>
        <w:t xml:space="preserve"> See Appendix A — Altman (1968). Note: Altman himself excluded financial firms from his model, which is why this app does too.</w:t>
      </w:r>
    </w:p>
    <w:p>
      <w:pPr>
        <w:pBdr>
          <w:bottom w:val="single" w:sz="6" w:space="1" w:color="CCCCCC"/>
        </w:pBdr>
      </w:pPr>
    </w:p>
    <w:p>
      <w:pPr>
        <w:pStyle w:val="Heading3"/>
      </w:pPr>
      <w:bookmarkStart w:id="15" w:name="mh15"/>
      <w:r>
        <w:t>3.3 Using the Filters</w:t>
      </w:r>
      <w:bookmarkEnd w:id="15"/>
    </w:p>
    <w:p>
      <w:r>
        <w:t>The filter panel (above the screener table) lets you narrow the universe. Filters can be combined.</w:t>
      </w:r>
    </w:p>
    <w:p>
      <w:pPr>
        <w:pStyle w:val="Heading4"/>
      </w:pPr>
      <w:bookmarkStart w:id="16" w:name="mh16"/>
      <w:r>
        <w:t>Basic Filters</w:t>
      </w:r>
      <w:bookmarkEnd w:id="16"/>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Filter</w:t>
            </w:r>
          </w:p>
        </w:tc>
        <w:tc>
          <w:tcPr>
            <w:tcW w:type="dxa" w:w="4320"/>
            <w:shd w:val="clear" w:color="auto" w:fill="E7ECF3"/>
          </w:tcPr>
          <w:p>
            <w:r>
              <w:rPr>
                <w:b/>
              </w:rPr>
            </w:r>
            <w:r>
              <w:rPr>
                <w:b/>
              </w:rPr>
            </w:r>
            <w:r>
              <w:rPr>
                <w:b/>
              </w:rPr>
              <w:t>Practical use</w:t>
            </w:r>
          </w:p>
        </w:tc>
      </w:tr>
      <w:tr>
        <w:tc>
          <w:tcPr>
            <w:tcW w:type="dxa" w:w="4320"/>
          </w:tcPr>
          <w:p>
            <w:r/>
            <w:r>
              <w:rPr>
                <w:b/>
              </w:rPr>
              <w:t>Sector</w:t>
            </w:r>
          </w:p>
        </w:tc>
        <w:tc>
          <w:tcPr>
            <w:tcW w:type="dxa" w:w="4320"/>
          </w:tcPr>
          <w:p>
            <w:r/>
            <w:r>
              <w:t xml:space="preserve">Focus on an industry you understand or that your research suggests is performing well. Click the </w:t>
            </w:r>
            <w:r>
              <w:rPr>
                <w:b/>
              </w:rPr>
              <w:t>⊘</w:t>
            </w:r>
            <w:r>
              <w:t xml:space="preserve"> button next to a sector name in the dropdown to </w:t>
            </w:r>
            <w:r>
              <w:rPr>
                <w:b/>
              </w:rPr>
              <w:t>exclude</w:t>
            </w:r>
            <w:r>
              <w:t xml:space="preserve"> it instead — see Section 3.7</w:t>
            </w:r>
          </w:p>
        </w:tc>
      </w:tr>
      <w:tr>
        <w:tc>
          <w:tcPr>
            <w:tcW w:type="dxa" w:w="4320"/>
          </w:tcPr>
          <w:p>
            <w:r/>
            <w:r>
              <w:rPr>
                <w:b/>
              </w:rPr>
              <w:t>FTSE Index</w:t>
            </w:r>
          </w:p>
        </w:tc>
        <w:tc>
          <w:tcPr>
            <w:tcW w:type="dxa" w:w="4320"/>
          </w:tcPr>
          <w:p>
            <w:r/>
            <w:r>
              <w:t xml:space="preserve">Filter by company size. FTSE 100 = the largest blue chips; FTSE 250 = mid-cap; FTSE 350 = both combined; FTSE SmallCap = smaller companies; </w:t>
            </w:r>
            <w:r>
              <w:rPr>
                <w:b/>
              </w:rPr>
              <w:t>AIM 100</w:t>
            </w:r>
            <w:r>
              <w:t xml:space="preserve"> = the largest 100 companies on the Alternative Investment Market</w:t>
            </w:r>
          </w:p>
        </w:tc>
      </w:tr>
      <w:tr>
        <w:tc>
          <w:tcPr>
            <w:tcW w:type="dxa" w:w="4320"/>
          </w:tcPr>
          <w:p>
            <w:r/>
            <w:r>
              <w:rPr>
                <w:b/>
              </w:rPr>
              <w:t>Market Cap (min)</w:t>
            </w:r>
          </w:p>
        </w:tc>
        <w:tc>
          <w:tcPr>
            <w:tcW w:type="dxa" w:w="4320"/>
          </w:tcPr>
          <w:p>
            <w:r/>
            <w:r>
              <w:t>Set a floor to exclude very small illiquid stocks</w:t>
            </w:r>
          </w:p>
        </w:tc>
      </w:tr>
      <w:tr>
        <w:tc>
          <w:tcPr>
            <w:tcW w:type="dxa" w:w="4320"/>
          </w:tcPr>
          <w:p>
            <w:r/>
            <w:r>
              <w:rPr>
                <w:b/>
              </w:rPr>
              <w:t>P/E (max)</w:t>
            </w:r>
          </w:p>
        </w:tc>
        <w:tc>
          <w:tcPr>
            <w:tcW w:type="dxa" w:w="4320"/>
          </w:tcPr>
          <w:p>
            <w:r/>
            <w:r>
              <w:t>Exclude very expensive stocks. Setting to 25 focuses on reasonably valued companies</w:t>
            </w:r>
          </w:p>
        </w:tc>
      </w:tr>
      <w:tr>
        <w:tc>
          <w:tcPr>
            <w:tcW w:type="dxa" w:w="4320"/>
          </w:tcPr>
          <w:p>
            <w:r/>
            <w:r>
              <w:rPr>
                <w:b/>
              </w:rPr>
              <w:t>ROE (min)</w:t>
            </w:r>
          </w:p>
        </w:tc>
        <w:tc>
          <w:tcPr>
            <w:tcW w:type="dxa" w:w="4320"/>
          </w:tcPr>
          <w:p>
            <w:r/>
            <w:r>
              <w:t>Set to 10% or 15% to find only profitable businesses</w:t>
            </w:r>
          </w:p>
        </w:tc>
      </w:tr>
      <w:tr>
        <w:tc>
          <w:tcPr>
            <w:tcW w:type="dxa" w:w="4320"/>
          </w:tcPr>
          <w:p>
            <w:r/>
            <w:r>
              <w:rPr>
                <w:b/>
              </w:rPr>
              <w:t>Revenue Growth (min)</w:t>
            </w:r>
          </w:p>
        </w:tc>
        <w:tc>
          <w:tcPr>
            <w:tcW w:type="dxa" w:w="4320"/>
          </w:tcPr>
          <w:p>
            <w:r/>
            <w:r>
              <w:t>Set to 5% to find growing companies</w:t>
            </w:r>
          </w:p>
        </w:tc>
      </w:tr>
    </w:tbl>
    <w:p>
      <w:pPr>
        <w:pStyle w:val="Heading4"/>
      </w:pPr>
      <w:bookmarkStart w:id="17" w:name="mh17"/>
      <w:r>
        <w:t>Score-Based Filters</w:t>
      </w:r>
      <w:bookmarkEnd w:id="17"/>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7ECF3"/>
          </w:tcPr>
          <w:p>
            <w:r>
              <w:rPr>
                <w:b/>
              </w:rPr>
            </w:r>
            <w:r>
              <w:rPr>
                <w:b/>
              </w:rPr>
            </w:r>
            <w:r>
              <w:rPr>
                <w:b/>
              </w:rPr>
              <w:t>Filter</w:t>
            </w:r>
          </w:p>
        </w:tc>
        <w:tc>
          <w:tcPr>
            <w:tcW w:type="dxa" w:w="2880"/>
            <w:shd w:val="clear" w:color="auto" w:fill="E7ECF3"/>
          </w:tcPr>
          <w:p>
            <w:r>
              <w:rPr>
                <w:b/>
              </w:rPr>
            </w:r>
            <w:r>
              <w:rPr>
                <w:b/>
              </w:rPr>
            </w:r>
            <w:r>
              <w:rPr>
                <w:b/>
              </w:rPr>
              <w:t>Suggested starting value</w:t>
            </w:r>
          </w:p>
        </w:tc>
        <w:tc>
          <w:tcPr>
            <w:tcW w:type="dxa" w:w="2880"/>
            <w:shd w:val="clear" w:color="auto" w:fill="E7ECF3"/>
          </w:tcPr>
          <w:p>
            <w:r>
              <w:rPr>
                <w:b/>
              </w:rPr>
            </w:r>
            <w:r>
              <w:rPr>
                <w:b/>
              </w:rPr>
            </w:r>
            <w:r>
              <w:rPr>
                <w:b/>
              </w:rPr>
              <w:t>Rationale</w:t>
            </w:r>
          </w:p>
        </w:tc>
      </w:tr>
      <w:tr>
        <w:tc>
          <w:tcPr>
            <w:tcW w:type="dxa" w:w="2880"/>
          </w:tcPr>
          <w:p>
            <w:r/>
            <w:r>
              <w:rPr>
                <w:b/>
              </w:rPr>
              <w:t>Min Momentum</w:t>
            </w:r>
          </w:p>
        </w:tc>
        <w:tc>
          <w:tcPr>
            <w:tcW w:type="dxa" w:w="2880"/>
          </w:tcPr>
          <w:p>
            <w:r/>
            <w:r>
              <w:t>6</w:t>
            </w:r>
          </w:p>
        </w:tc>
        <w:tc>
          <w:tcPr>
            <w:tcW w:type="dxa" w:w="2880"/>
          </w:tcPr>
          <w:p>
            <w:r/>
            <w:r>
              <w:t>Focus on stocks with above-average price trends</w:t>
            </w:r>
          </w:p>
        </w:tc>
      </w:tr>
      <w:tr>
        <w:tc>
          <w:tcPr>
            <w:tcW w:type="dxa" w:w="2880"/>
          </w:tcPr>
          <w:p>
            <w:r/>
            <w:r>
              <w:rPr>
                <w:b/>
              </w:rPr>
              <w:t>Min Quality</w:t>
            </w:r>
          </w:p>
        </w:tc>
        <w:tc>
          <w:tcPr>
            <w:tcW w:type="dxa" w:w="2880"/>
          </w:tcPr>
          <w:p>
            <w:r/>
            <w:r>
              <w:t>6</w:t>
            </w:r>
          </w:p>
        </w:tc>
        <w:tc>
          <w:tcPr>
            <w:tcW w:type="dxa" w:w="2880"/>
          </w:tcPr>
          <w:p>
            <w:r/>
            <w:r>
              <w:t>Only businesses with strong returns and margins</w:t>
            </w:r>
          </w:p>
        </w:tc>
      </w:tr>
      <w:tr>
        <w:tc>
          <w:tcPr>
            <w:tcW w:type="dxa" w:w="2880"/>
          </w:tcPr>
          <w:p>
            <w:r/>
            <w:r>
              <w:rPr>
                <w:b/>
              </w:rPr>
              <w:t>Min Piotroski</w:t>
            </w:r>
          </w:p>
        </w:tc>
        <w:tc>
          <w:tcPr>
            <w:tcW w:type="dxa" w:w="2880"/>
          </w:tcPr>
          <w:p>
            <w:r/>
            <w:r>
              <w:t>6</w:t>
            </w:r>
          </w:p>
        </w:tc>
        <w:tc>
          <w:tcPr>
            <w:tcW w:type="dxa" w:w="2880"/>
          </w:tcPr>
          <w:p>
            <w:r/>
            <w:r>
              <w:t>Financially healthy and improving</w:t>
            </w:r>
          </w:p>
        </w:tc>
      </w:tr>
      <w:tr>
        <w:tc>
          <w:tcPr>
            <w:tcW w:type="dxa" w:w="2880"/>
          </w:tcPr>
          <w:p>
            <w:r/>
            <w:r>
              <w:rPr>
                <w:b/>
              </w:rPr>
              <w:t>Max Risk</w:t>
            </w:r>
          </w:p>
        </w:tc>
        <w:tc>
          <w:tcPr>
            <w:tcW w:type="dxa" w:w="2880"/>
          </w:tcPr>
          <w:p>
            <w:r/>
            <w:r>
              <w:t>5</w:t>
            </w:r>
          </w:p>
        </w:tc>
        <w:tc>
          <w:tcPr>
            <w:tcW w:type="dxa" w:w="2880"/>
          </w:tcPr>
          <w:p>
            <w:r/>
            <w:r>
              <w:t>Exclude higher-risk names</w:t>
            </w:r>
          </w:p>
        </w:tc>
      </w:tr>
      <w:tr>
        <w:tc>
          <w:tcPr>
            <w:tcW w:type="dxa" w:w="2880"/>
          </w:tcPr>
          <w:p>
            <w:r/>
            <w:r>
              <w:rPr>
                <w:b/>
              </w:rPr>
              <w:t>Max PEGY</w:t>
            </w:r>
          </w:p>
        </w:tc>
        <w:tc>
          <w:tcPr>
            <w:tcW w:type="dxa" w:w="2880"/>
          </w:tcPr>
          <w:p>
            <w:r/>
            <w:r>
              <w:t>1.5</w:t>
            </w:r>
          </w:p>
        </w:tc>
        <w:tc>
          <w:tcPr>
            <w:tcW w:type="dxa" w:w="2880"/>
          </w:tcPr>
          <w:p>
            <w:r/>
            <w:r>
              <w:t xml:space="preserve">Keep only stocks priced fairly-or-cheaply for their growth and yield (options: ≤ 1, ≤ 1.5, ≤ 2). See </w:t>
            </w:r>
            <w:r>
              <w:t>§3.5</w:t>
            </w:r>
            <w:r>
              <w:t>.</w:t>
            </w:r>
          </w:p>
        </w:tc>
      </w:tr>
    </w:tbl>
    <w:p>
      <w:pPr>
        <w:pStyle w:val="Heading4"/>
      </w:pPr>
      <w:bookmarkStart w:id="18" w:name="mh18"/>
      <w:r>
        <w:t>Analyst Filters (in Analyst View)</w:t>
      </w:r>
      <w:bookmarkEnd w:id="18"/>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Filter</w:t>
            </w:r>
          </w:p>
        </w:tc>
        <w:tc>
          <w:tcPr>
            <w:tcW w:type="dxa" w:w="4320"/>
            <w:shd w:val="clear" w:color="auto" w:fill="E7ECF3"/>
          </w:tcPr>
          <w:p>
            <w:r>
              <w:rPr>
                <w:b/>
              </w:rPr>
            </w:r>
            <w:r>
              <w:rPr>
                <w:b/>
              </w:rPr>
            </w:r>
            <w:r>
              <w:rPr>
                <w:b/>
              </w:rPr>
              <w:t>Use</w:t>
            </w:r>
          </w:p>
        </w:tc>
      </w:tr>
      <w:tr>
        <w:tc>
          <w:tcPr>
            <w:tcW w:type="dxa" w:w="4320"/>
          </w:tcPr>
          <w:p>
            <w:r/>
            <w:r>
              <w:rPr>
                <w:b/>
              </w:rPr>
              <w:t>Consensus</w:t>
            </w:r>
          </w:p>
        </w:tc>
        <w:tc>
          <w:tcPr>
            <w:tcW w:type="dxa" w:w="4320"/>
          </w:tcPr>
          <w:p>
            <w:r/>
            <w:r>
              <w:t>Select "Buy" to see only stocks where the majority of analysts are positive</w:t>
            </w:r>
          </w:p>
        </w:tc>
      </w:tr>
      <w:tr>
        <w:tc>
          <w:tcPr>
            <w:tcW w:type="dxa" w:w="4320"/>
          </w:tcPr>
          <w:p>
            <w:r/>
            <w:r>
              <w:rPr>
                <w:b/>
              </w:rPr>
              <w:t>Upside %</w:t>
            </w:r>
          </w:p>
        </w:tc>
        <w:tc>
          <w:tcPr>
            <w:tcW w:type="dxa" w:w="4320"/>
          </w:tcPr>
          <w:p>
            <w:r/>
            <w:r>
              <w:t>Set to 15% to find stocks where analysts see meaningful appreciation potential</w:t>
            </w:r>
          </w:p>
        </w:tc>
      </w:tr>
    </w:tbl>
    <w:p>
      <w:pPr>
        <w:pBdr>
          <w:bottom w:val="single" w:sz="6" w:space="1" w:color="CCCCCC"/>
        </w:pBdr>
      </w:pPr>
    </w:p>
    <w:p>
      <w:pPr>
        <w:pStyle w:val="Heading3"/>
      </w:pPr>
      <w:bookmarkStart w:id="19" w:name="mh19"/>
      <w:r>
        <w:t>3.4 Analyst View</w:t>
      </w:r>
      <w:bookmarkEnd w:id="19"/>
    </w:p>
    <w:p>
      <w:r>
        <w:t xml:space="preserve">Clicking the </w:t>
      </w:r>
      <w:r>
        <w:rPr>
          <w:b/>
        </w:rPr>
        <w:t>Analyst</w:t>
      </w:r>
      <w:r>
        <w:t xml:space="preserve"> view tab on the screener changes the columns to show professional analyst data:</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Column</w:t>
            </w:r>
          </w:p>
        </w:tc>
        <w:tc>
          <w:tcPr>
            <w:tcW w:type="dxa" w:w="4320"/>
            <w:shd w:val="clear" w:color="auto" w:fill="E7ECF3"/>
          </w:tcPr>
          <w:p>
            <w:r>
              <w:rPr>
                <w:b/>
              </w:rPr>
            </w:r>
            <w:r>
              <w:rPr>
                <w:b/>
              </w:rPr>
            </w:r>
            <w:r>
              <w:rPr>
                <w:b/>
              </w:rPr>
              <w:t>What it means</w:t>
            </w:r>
          </w:p>
        </w:tc>
      </w:tr>
      <w:tr>
        <w:tc>
          <w:tcPr>
            <w:tcW w:type="dxa" w:w="4320"/>
          </w:tcPr>
          <w:p>
            <w:r/>
            <w:r>
              <w:rPr>
                <w:b/>
              </w:rPr>
              <w:t>Consensus</w:t>
            </w:r>
          </w:p>
        </w:tc>
        <w:tc>
          <w:tcPr>
            <w:tcW w:type="dxa" w:w="4320"/>
          </w:tcPr>
          <w:p>
            <w:r/>
            <w:r>
              <w:t>The aggregated view of all analysts covering the stock: Buy, Hold, or Sell</w:t>
            </w:r>
          </w:p>
        </w:tc>
      </w:tr>
      <w:tr>
        <w:tc>
          <w:tcPr>
            <w:tcW w:type="dxa" w:w="4320"/>
          </w:tcPr>
          <w:p>
            <w:r/>
            <w:r>
              <w:rPr>
                <w:b/>
              </w:rPr>
              <w:t>Upside</w:t>
            </w:r>
          </w:p>
        </w:tc>
        <w:tc>
          <w:tcPr>
            <w:tcW w:type="dxa" w:w="4320"/>
          </w:tcPr>
          <w:p>
            <w:r/>
            <w:r>
              <w:t>How far (in %) the current share price is from the average analyst price target. +20% means analysts think the stock could rise 20%.</w:t>
            </w:r>
          </w:p>
        </w:tc>
      </w:tr>
      <w:tr>
        <w:tc>
          <w:tcPr>
            <w:tcW w:type="dxa" w:w="4320"/>
          </w:tcPr>
          <w:p>
            <w:r/>
            <w:r>
              <w:rPr>
                <w:b/>
              </w:rPr>
              <w:t>Buy%</w:t>
            </w:r>
          </w:p>
        </w:tc>
        <w:tc>
          <w:tcPr>
            <w:tcW w:type="dxa" w:w="4320"/>
          </w:tcPr>
          <w:p>
            <w:r/>
            <w:r>
              <w:t>Percentage of covering analysts with a Buy or Strong Buy recommendation</w:t>
            </w:r>
          </w:p>
        </w:tc>
      </w:tr>
      <w:tr>
        <w:tc>
          <w:tcPr>
            <w:tcW w:type="dxa" w:w="4320"/>
          </w:tcPr>
          <w:p>
            <w:r/>
            <w:r>
              <w:rPr>
                <w:b/>
              </w:rPr>
              <w:t># Analysts</w:t>
            </w:r>
          </w:p>
        </w:tc>
        <w:tc>
          <w:tcPr>
            <w:tcW w:type="dxa" w:w="4320"/>
          </w:tcPr>
          <w:p>
            <w:r/>
            <w:r>
              <w:t>The number of analysts following the stock. More analysts = more reliable consensus</w:t>
            </w:r>
          </w:p>
        </w:tc>
      </w:tr>
      <w:tr>
        <w:tc>
          <w:tcPr>
            <w:tcW w:type="dxa" w:w="4320"/>
          </w:tcPr>
          <w:p>
            <w:r/>
            <w:r>
              <w:rPr>
                <w:b/>
              </w:rPr>
              <w:t>Rev Score</w:t>
            </w:r>
          </w:p>
        </w:tc>
        <w:tc>
          <w:tcPr>
            <w:tcW w:type="dxa" w:w="4320"/>
          </w:tcPr>
          <w:p>
            <w:r/>
            <w:r>
              <w:t>Earnings revision score: upward EPS revisions minus downward revisions in the past 30 days. Positive = analysts are raising their profit forecasts — a strong positive signal.</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Why analyst data matters:</w:t>
            </w:r>
            <w:r>
              <w:t xml:space="preserve"> Professional analysts spend their careers studying individual sectors and companies. While no analyst is always right, a strong consensus — especially when combined with rising earnings estimates — is a meaningful signal.</w:t>
            </w:r>
          </w:p>
        </w:tc>
      </w:tr>
    </w:tbl>
    <w:p>
      <w:pPr>
        <w:pBdr>
          <w:bottom w:val="single" w:sz="6" w:space="1" w:color="CCCCCC"/>
        </w:pBdr>
      </w:pPr>
    </w:p>
    <w:p>
      <w:pPr>
        <w:pStyle w:val="Heading3"/>
      </w:pPr>
      <w:bookmarkStart w:id="20" w:name="mh20"/>
      <w:r>
        <w:t>3.5 The PEGY Column</w:t>
      </w:r>
      <w:bookmarkEnd w:id="20"/>
    </w:p>
    <w:p>
      <w:r>
        <w:rPr>
          <w:b/>
        </w:rPr>
        <w:t>What it is:</w:t>
      </w:r>
      <w:r>
        <w:t xml:space="preserve"> PEGY stands for </w:t>
      </w:r>
      <w:r>
        <w:rPr>
          <w:b/>
        </w:rPr>
        <w:t>P/E divided by (Growth + Yield)</w:t>
      </w:r>
      <w:r>
        <w:t>. It is one of the simplest and most useful "value-for-money" tests for a stock.</w:t>
      </w:r>
    </w:p>
    <w:p>
      <w:r>
        <w:rPr>
          <w:b/>
        </w:rPr>
        <w:t>The intuition:</w:t>
      </w:r>
      <w:r>
        <w:t xml:space="preserve"> A high P/E (say 30) sounds expensive — but if the company is growing earnings at 25% a year and pays a 5% dividend, you are paying 30 ÷ (25 + 5) = a PEGY of 1.0, which is actually fair. Conversely, a low P/E (say 10) sounds cheap — but if growth is only 2% and the dividend is 1%, the PEGY is 10 ÷ 3 = 3.3, meaning you are paying a lot for very little growth or income.</w:t>
      </w:r>
    </w:p>
    <w:p>
      <w:r>
        <w:rPr>
          <w:b/>
        </w:rPr>
        <w:t>The formula:</w:t>
      </w:r>
    </w:p>
    <w:p>
      <w:pPr>
        <w:shd w:val="clear" w:color="auto" w:fill="F5F5F5"/>
        <w:ind w:left="288"/>
      </w:pPr>
      <w:r>
        <w:rPr>
          <w:rFonts w:ascii="Consolas" w:hAnsi="Consolas"/>
          <w:sz w:val="19"/>
        </w:rPr>
        <w:t>PEGY = Forward P/E ÷ (Earnings growth % + Dividend yield %)</w:t>
      </w:r>
    </w:p>
    <w:p>
      <w:r>
        <w:t>Two refinements make this app's PEGY more robust than the textbook version:</w:t>
      </w:r>
    </w:p>
    <w:p>
      <w:pPr>
        <w:spacing w:after="40"/>
        <w:ind w:left="360"/>
      </w:pPr>
      <w:r>
        <w:t xml:space="preserve">1. </w:t>
      </w:r>
      <w:r>
        <w:rPr>
          <w:b/>
        </w:rPr>
        <w:t>It uses a *forward* P/E, not the trailing one.</w:t>
      </w:r>
      <w:r>
        <w:t xml:space="preserve"> A trailing (last-reported) P/E is easily distorted by one-off items — a disposal gain or a tax credit can inflate reported earnings and make a stock look artificially cheap (this happened with Rolls-Royce), while a depressed statutory year does the reverse (Legal &amp; General). When at least one analyst estimate for the current year exists, the app rebases the P/E onto expected earnings, which strips out those one-offs.</w:t>
      </w:r>
    </w:p>
    <w:p>
      <w:pPr>
        <w:spacing w:after="40"/>
        <w:ind w:left="360"/>
      </w:pPr>
      <w:r>
        <w:t xml:space="preserve">2. </w:t>
      </w:r>
      <w:r>
        <w:rPr>
          <w:b/>
        </w:rPr>
        <w:t>Growth is a *blend* and is capped at 30%.</w:t>
      </w:r>
      <w:r>
        <w:t xml:space="preserve"> Rather than using a single noisy number, the growth figure blends the forward analyst EPS growth (only counted when ≥3 analysts cover the stock) with the company's 10-year EPS growth rate. Each leg is capped at 30% first, so a one-off recovery bounce (e.g. earnings rebounding +150% off a COVID-depressed base) cannot inflate the denominator and make junk look ultra-cheap.</w:t>
      </w:r>
    </w:p>
    <w:p>
      <w:r>
        <w:rPr>
          <w:b/>
        </w:rPr>
        <w:t>How to read it: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7ECF3"/>
          </w:tcPr>
          <w:p>
            <w:r>
              <w:rPr>
                <w:b/>
              </w:rPr>
            </w:r>
            <w:r>
              <w:rPr>
                <w:b/>
              </w:rPr>
            </w:r>
            <w:r>
              <w:rPr>
                <w:b/>
              </w:rPr>
              <w:t>PEGY</w:t>
            </w:r>
          </w:p>
        </w:tc>
        <w:tc>
          <w:tcPr>
            <w:tcW w:type="dxa" w:w="2880"/>
            <w:shd w:val="clear" w:color="auto" w:fill="E7ECF3"/>
          </w:tcPr>
          <w:p>
            <w:r>
              <w:rPr>
                <w:b/>
              </w:rPr>
            </w:r>
            <w:r>
              <w:rPr>
                <w:b/>
              </w:rPr>
            </w:r>
            <w:r>
              <w:rPr>
                <w:b/>
              </w:rPr>
              <w:t>Interpretation</w:t>
            </w:r>
          </w:p>
        </w:tc>
        <w:tc>
          <w:tcPr>
            <w:tcW w:type="dxa" w:w="2880"/>
            <w:shd w:val="clear" w:color="auto" w:fill="E7ECF3"/>
          </w:tcPr>
          <w:p>
            <w:r>
              <w:rPr>
                <w:b/>
              </w:rPr>
            </w:r>
            <w:r>
              <w:rPr>
                <w:b/>
              </w:rPr>
            </w:r>
            <w:r>
              <w:rPr>
                <w:b/>
              </w:rPr>
              <w:t>Colour in screener</w:t>
            </w:r>
          </w:p>
        </w:tc>
      </w:tr>
      <w:tr>
        <w:tc>
          <w:tcPr>
            <w:tcW w:type="dxa" w:w="2880"/>
          </w:tcPr>
          <w:p>
            <w:r/>
            <w:r>
              <w:rPr>
                <w:b/>
              </w:rPr>
              <w:t>Below 1</w:t>
            </w:r>
          </w:p>
        </w:tc>
        <w:tc>
          <w:tcPr>
            <w:tcW w:type="dxa" w:w="2880"/>
          </w:tcPr>
          <w:p>
            <w:r/>
            <w:r>
              <w:t>Potentially great value — you are paying less than fair price for the growth and income</w:t>
            </w:r>
          </w:p>
        </w:tc>
        <w:tc>
          <w:tcPr>
            <w:tcW w:type="dxa" w:w="2880"/>
          </w:tcPr>
          <w:p>
            <w:r/>
            <w:r>
              <w:t>Green</w:t>
            </w:r>
          </w:p>
        </w:tc>
      </w:tr>
      <w:tr>
        <w:tc>
          <w:tcPr>
            <w:tcW w:type="dxa" w:w="2880"/>
          </w:tcPr>
          <w:p>
            <w:r/>
            <w:r>
              <w:rPr>
                <w:b/>
              </w:rPr>
              <w:t>1 to 2</w:t>
            </w:r>
          </w:p>
        </w:tc>
        <w:tc>
          <w:tcPr>
            <w:tcW w:type="dxa" w:w="2880"/>
          </w:tcPr>
          <w:p>
            <w:r/>
            <w:r>
              <w:t>Fair value</w:t>
            </w:r>
          </w:p>
        </w:tc>
        <w:tc>
          <w:tcPr>
            <w:tcW w:type="dxa" w:w="2880"/>
          </w:tcPr>
          <w:p>
            <w:r/>
            <w:r>
              <w:t>Amber</w:t>
            </w:r>
          </w:p>
        </w:tc>
      </w:tr>
      <w:tr>
        <w:tc>
          <w:tcPr>
            <w:tcW w:type="dxa" w:w="2880"/>
          </w:tcPr>
          <w:p>
            <w:r/>
            <w:r>
              <w:rPr>
                <w:b/>
              </w:rPr>
              <w:t>Above 2</w:t>
            </w:r>
          </w:p>
        </w:tc>
        <w:tc>
          <w:tcPr>
            <w:tcW w:type="dxa" w:w="2880"/>
          </w:tcPr>
          <w:p>
            <w:r/>
            <w:r>
              <w:t>Expensive relative to the growth and income on offer</w:t>
            </w:r>
          </w:p>
        </w:tc>
        <w:tc>
          <w:tcPr>
            <w:tcW w:type="dxa" w:w="2880"/>
          </w:tcPr>
          <w:p>
            <w:r/>
            <w:r>
              <w:t>Red</w:t>
            </w:r>
          </w:p>
        </w:tc>
      </w:tr>
      <w:tr>
        <w:tc>
          <w:tcPr>
            <w:tcW w:type="dxa" w:w="2880"/>
          </w:tcPr>
          <w:p>
            <w:r/>
            <w:r>
              <w:rPr>
                <w:b/>
              </w:rPr>
              <w:t>Blank (—)</w:t>
            </w:r>
          </w:p>
        </w:tc>
        <w:tc>
          <w:tcPr>
            <w:tcW w:type="dxa" w:w="2880"/>
          </w:tcPr>
          <w:p>
            <w:r/>
            <w:r>
              <w:t>Not enough data, or earnings are flat/shrinking, or the growth+yield base is below 2% (too small to give a meaningful ratio)</w:t>
            </w:r>
          </w:p>
        </w:tc>
        <w:tc>
          <w:tcPr>
            <w:tcW w:type="dxa" w:w="2880"/>
          </w:tcPr>
          <w:p>
            <w:r/>
            <w:r>
              <w:t>Grey</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Why earnings must be growing:</w:t>
            </w:r>
            <w:r>
              <w:t xml:space="preserve"> PEGY only makes sense for a company whose earnings are actually growing. If the blended growth figure is zero or negative, the app leaves PEGY blank rather than letting a fat dividend yield mask a falling profit line.</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Under the hood — PEGY</w:t>
            </w:r>
          </w:p>
          <w:p>
            <w:pPr>
              <w:spacing w:after="40"/>
              <w:ind w:left="360"/>
            </w:pPr>
            <w:r>
              <w:t xml:space="preserve">• </w:t>
            </w:r>
            <w:r>
              <w:rPr>
                <w:b/>
              </w:rPr>
              <w:t>Forward P/E:</w:t>
            </w:r>
            <w:r>
              <w:t xml:space="preserve"> </w:t>
            </w:r>
            <w:r>
              <w:rPr>
                <w:rFonts w:ascii="Consolas" w:hAnsi="Consolas"/>
                <w:color w:val="B11A4B"/>
              </w:rPr>
              <w:t>forward_PE = trailing_PE × (eps_diluted ÷ eps_estimate_current_year)</w:t>
            </w:r>
            <w:r>
              <w:t xml:space="preserve"> when both EPS figures are positive, else the trailing P/E. (Multiplying the ratio this way keeps it currency-safe for USD reporters like AstraZeneca and Shell whose share price is quoted in pence.) If there is no positive P/E, PEGY is blank.</w:t>
            </w:r>
          </w:p>
          <w:p>
            <w:pPr>
              <w:spacing w:after="40"/>
              <w:ind w:left="360"/>
            </w:pPr>
            <w:r>
              <w:t xml:space="preserve">• </w:t>
            </w:r>
            <w:r>
              <w:rPr>
                <w:b/>
              </w:rPr>
              <w:t>Growth (each leg capped at 30% = 0.30 before blending):</w:t>
            </w:r>
            <w:r>
              <w:t xml:space="preserve"> forward leg = next-year analyst EPS growth, used only when </w:t>
            </w:r>
            <w:r>
              <w:rPr>
                <w:rFonts w:ascii="Consolas" w:hAnsi="Consolas"/>
                <w:color w:val="B11A4B"/>
              </w:rPr>
              <w:t>total_analysts ≥ 3</w:t>
            </w:r>
            <w:r>
              <w:t xml:space="preserve">; trailing leg = 10-year EPS CAGR. If both exist, </w:t>
            </w:r>
            <w:r>
              <w:rPr>
                <w:rFonts w:ascii="Consolas" w:hAnsi="Consolas"/>
                <w:color w:val="B11A4B"/>
              </w:rPr>
              <w:t>growth = 0.5 × forward + 0.5 × CAGR</w:t>
            </w:r>
            <w:r>
              <w:t xml:space="preserve">; otherwise whichever single leg exists. If </w:t>
            </w:r>
            <w:r>
              <w:rPr>
                <w:rFonts w:ascii="Consolas" w:hAnsi="Consolas"/>
                <w:color w:val="B11A4B"/>
              </w:rPr>
              <w:t>growth ≤ 0</w:t>
            </w:r>
            <w:r>
              <w:t>, PEGY is blank.</w:t>
            </w:r>
          </w:p>
          <w:p>
            <w:pPr>
              <w:spacing w:after="40"/>
              <w:ind w:left="360"/>
            </w:pPr>
            <w:r>
              <w:t xml:space="preserve">• </w:t>
            </w:r>
            <w:r>
              <w:rPr>
                <w:b/>
              </w:rPr>
              <w:t>Yield:</w:t>
            </w:r>
            <w:r>
              <w:t xml:space="preserve"> the clean </w:t>
            </w:r>
            <w:r>
              <w:rPr>
                <w:rFonts w:ascii="Consolas" w:hAnsi="Consolas"/>
                <w:color w:val="B11A4B"/>
              </w:rPr>
              <w:t>dividend_yield</w:t>
            </w:r>
            <w:r>
              <w:t xml:space="preserve"> field where available, else </w:t>
            </w:r>
            <w:r>
              <w:rPr>
                <w:rFonts w:ascii="Consolas" w:hAnsi="Consolas"/>
                <w:color w:val="B11A4B"/>
              </w:rPr>
              <w:t>dividends_per_share ÷ period_end_price</w:t>
            </w:r>
            <w:r>
              <w:t>.</w:t>
            </w:r>
          </w:p>
          <w:p>
            <w:pPr>
              <w:spacing w:after="40"/>
              <w:ind w:left="360"/>
            </w:pPr>
            <w:r>
              <w:t xml:space="preserve">• </w:t>
            </w:r>
            <w:r>
              <w:rPr>
                <w:b/>
              </w:rPr>
              <w:t>Denominator &amp; result:</w:t>
            </w:r>
            <w:r>
              <w:t xml:space="preserve"> </w:t>
            </w:r>
            <w:r>
              <w:rPr>
                <w:rFonts w:ascii="Consolas" w:hAnsi="Consolas"/>
                <w:color w:val="B11A4B"/>
              </w:rPr>
              <w:t>denom% = (growth + yield) × 100</w:t>
            </w:r>
            <w:r>
              <w:t xml:space="preserve">; if </w:t>
            </w:r>
            <w:r>
              <w:rPr>
                <w:rFonts w:ascii="Consolas" w:hAnsi="Consolas"/>
                <w:color w:val="B11A4B"/>
              </w:rPr>
              <w:t>denom% &lt; 2</w:t>
            </w:r>
            <w:r>
              <w:t xml:space="preserve">, blank; else </w:t>
            </w:r>
            <w:r>
              <w:rPr>
                <w:rFonts w:ascii="Consolas" w:hAnsi="Consolas"/>
                <w:color w:val="B11A4B"/>
              </w:rPr>
              <w:t>PEGY = round(forward_PE ÷ denom%, 2)</w:t>
            </w:r>
            <w:r>
              <w:t>.</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Why this matters for upside / downside:</w:t>
            </w:r>
            <w:r>
              <w:t xml:space="preserve"> PEGY directly answers the question "am I overpaying?". A low PEGY combined with a high Quality Score is the textbook setup for asymmetric upside — solid business, paying a fair price, and growth/income working in your favour.</w:t>
            </w:r>
          </w:p>
        </w:tc>
      </w:tr>
    </w:tbl>
    <w:p>
      <w:pPr>
        <w:pBdr>
          <w:bottom w:val="single" w:sz="6" w:space="1" w:color="CCCCCC"/>
        </w:pBdr>
      </w:pPr>
    </w:p>
    <w:p>
      <w:pPr>
        <w:pStyle w:val="Heading3"/>
      </w:pPr>
      <w:bookmarkStart w:id="21" w:name="mh21"/>
      <w:r>
        <w:t>3.6 The Watchlist — Your Monitoring Dashboard</w:t>
      </w:r>
      <w:bookmarkEnd w:id="21"/>
    </w:p>
    <w:p>
      <w:r>
        <w:t xml:space="preserve">The Watchlist is no longer a plain screener table — it is a purpose-built </w:t>
      </w:r>
      <w:r>
        <w:rPr>
          <w:b/>
        </w:rPr>
        <w:t>monitoring dashboard</w:t>
      </w:r>
      <w:r>
        <w:t xml:space="preserve"> for the companies you care about, designed to be the page you glance at each morning.</w:t>
      </w:r>
    </w:p>
    <w:p>
      <w:pPr>
        <w:spacing w:before="120" w:after="40"/>
        <w:jc w:val="center"/>
      </w:pPr>
      <w:r>
        <w:drawing>
          <wp:inline xmlns:a="http://schemas.openxmlformats.org/drawingml/2006/main" xmlns:pic="http://schemas.openxmlformats.org/drawingml/2006/picture">
            <wp:extent cx="5486400" cy="2610257"/>
            <wp:docPr id="3" name="Picture 3"/>
            <wp:cNvGraphicFramePr>
              <a:graphicFrameLocks noChangeAspect="1"/>
            </wp:cNvGraphicFramePr>
            <a:graphic>
              <a:graphicData uri="http://schemas.openxmlformats.org/drawingml/2006/picture">
                <pic:pic>
                  <pic:nvPicPr>
                    <pic:cNvPr id="0" name="watchlist.png"/>
                    <pic:cNvPicPr/>
                  </pic:nvPicPr>
                  <pic:blipFill>
                    <a:blip r:embed="rId11"/>
                    <a:stretch>
                      <a:fillRect/>
                    </a:stretch>
                  </pic:blipFill>
                  <pic:spPr>
                    <a:xfrm>
                      <a:off x="0" y="0"/>
                      <a:ext cx="5486400" cy="2610257"/>
                    </a:xfrm>
                    <a:prstGeom prst="rect"/>
                  </pic:spPr>
                </pic:pic>
              </a:graphicData>
            </a:graphic>
          </wp:inline>
        </w:drawing>
      </w:r>
    </w:p>
    <w:p>
      <w:pPr>
        <w:spacing w:after="240"/>
        <w:jc w:val="center"/>
      </w:pPr>
      <w:r>
        <w:rPr>
          <w:i/>
          <w:color w:val="666666"/>
          <w:sz w:val="18"/>
        </w:rPr>
        <w:t>The Watchlist — a monitoring dashboard with streak, sparkline, 52-week range, target-buy and news columns, plus a per-share news panel.</w:t>
      </w:r>
    </w:p>
    <w:p>
      <w:r>
        <w:rPr>
          <w:b/>
        </w:rPr>
        <w:t>Multiple named lists</w:t>
      </w:r>
    </w:p>
    <w:p>
      <w:r>
        <w:t xml:space="preserve">You can keep </w:t>
      </w:r>
      <w:r>
        <w:rPr>
          <w:b/>
        </w:rPr>
        <w:t>several separate watchlists</w:t>
      </w:r>
      <w:r>
        <w:t xml:space="preserve"> — for example "Core holdings", "Research ideas", and "Buy when cheaper". There is always a default list to start with, and you can:</w:t>
      </w:r>
    </w:p>
    <w:p>
      <w:pPr>
        <w:spacing w:after="40"/>
        <w:ind w:left="360"/>
      </w:pPr>
      <w:r>
        <w:t xml:space="preserve">• </w:t>
      </w:r>
      <w:r>
        <w:rPr>
          <w:b/>
        </w:rPr>
        <w:t>Create</w:t>
      </w:r>
      <w:r>
        <w:t xml:space="preserve"> a new list (give it a name).</w:t>
      </w:r>
    </w:p>
    <w:p>
      <w:pPr>
        <w:spacing w:after="40"/>
        <w:ind w:left="360"/>
      </w:pPr>
      <w:r>
        <w:t xml:space="preserve">• </w:t>
      </w:r>
      <w:r>
        <w:rPr>
          <w:b/>
        </w:rPr>
        <w:t>Rename</w:t>
      </w:r>
      <w:r>
        <w:t xml:space="preserve"> or </w:t>
      </w:r>
      <w:r>
        <w:rPr>
          <w:b/>
        </w:rPr>
        <w:t>delete</w:t>
      </w:r>
      <w:r>
        <w:t xml:space="preserve"> any list.</w:t>
      </w:r>
    </w:p>
    <w:p>
      <w:pPr>
        <w:spacing w:after="40"/>
        <w:ind w:left="360"/>
      </w:pPr>
      <w:r>
        <w:t xml:space="preserve">• </w:t>
      </w:r>
      <w:r>
        <w:rPr>
          <w:b/>
        </w:rPr>
        <w:t>Add</w:t>
      </w:r>
      <w:r>
        <w:t xml:space="preserve"> a company to the active list via the </w:t>
      </w:r>
      <w:r>
        <w:rPr>
          <w:b/>
        </w:rPr>
        <w:t>★ Star</w:t>
      </w:r>
      <w:r>
        <w:t xml:space="preserve"> icon in the Screener (or remove it by clicking the star again, or the ✕ on its row in the watchlist).</w:t>
      </w:r>
    </w:p>
    <w:p>
      <w:r>
        <w:t>Switch between lists using the list selector at the top of the Watchlist page.</w:t>
      </w:r>
    </w:p>
    <w:p>
      <w:r>
        <w:rPr>
          <w:b/>
        </w:rPr>
        <w:t>What each row shows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Column</w:t>
            </w:r>
          </w:p>
        </w:tc>
        <w:tc>
          <w:tcPr>
            <w:tcW w:type="dxa" w:w="4320"/>
            <w:shd w:val="clear" w:color="auto" w:fill="E7ECF3"/>
          </w:tcPr>
          <w:p>
            <w:r>
              <w:rPr>
                <w:b/>
              </w:rPr>
            </w:r>
            <w:r>
              <w:rPr>
                <w:b/>
              </w:rPr>
            </w:r>
            <w:r>
              <w:rPr>
                <w:b/>
              </w:rPr>
              <w:t>What it tells you</w:t>
            </w:r>
          </w:p>
        </w:tc>
      </w:tr>
      <w:tr>
        <w:tc>
          <w:tcPr>
            <w:tcW w:type="dxa" w:w="4320"/>
          </w:tcPr>
          <w:p>
            <w:r/>
            <w:r>
              <w:rPr>
                <w:b/>
              </w:rPr>
              <w:t>Stock</w:t>
            </w:r>
          </w:p>
        </w:tc>
        <w:tc>
          <w:tcPr>
            <w:tcW w:type="dxa" w:w="4320"/>
          </w:tcPr>
          <w:p>
            <w:r/>
            <w:r>
              <w:t>Ticker and company name — click to open the full company detail page.</w:t>
            </w:r>
          </w:p>
        </w:tc>
      </w:tr>
      <w:tr>
        <w:tc>
          <w:tcPr>
            <w:tcW w:type="dxa" w:w="4320"/>
          </w:tcPr>
          <w:p>
            <w:r/>
            <w:r>
              <w:rPr>
                <w:b/>
              </w:rPr>
              <w:t>Price</w:t>
            </w:r>
          </w:p>
        </w:tc>
        <w:tc>
          <w:tcPr>
            <w:tcW w:type="dxa" w:w="4320"/>
          </w:tcPr>
          <w:p>
            <w:r/>
            <w:r>
              <w:t>Latest close, shown in pounds (the app converts from the pence the LSE quotes in).</w:t>
            </w:r>
          </w:p>
        </w:tc>
      </w:tr>
      <w:tr>
        <w:tc>
          <w:tcPr>
            <w:tcW w:type="dxa" w:w="4320"/>
          </w:tcPr>
          <w:p>
            <w:r/>
            <w:r>
              <w:rPr>
                <w:b/>
              </w:rPr>
              <w:t>Day</w:t>
            </w:r>
          </w:p>
        </w:tc>
        <w:tc>
          <w:tcPr>
            <w:tcW w:type="dxa" w:w="4320"/>
          </w:tcPr>
          <w:p>
            <w:r/>
            <w:r>
              <w:t>The latest one-day percentage move, green/red.</w:t>
            </w:r>
          </w:p>
        </w:tc>
      </w:tr>
      <w:tr>
        <w:tc>
          <w:tcPr>
            <w:tcW w:type="dxa" w:w="4320"/>
          </w:tcPr>
          <w:p>
            <w:r/>
            <w:r>
              <w:rPr>
                <w:b/>
              </w:rPr>
              <w:t>Run</w:t>
            </w:r>
          </w:p>
        </w:tc>
        <w:tc>
          <w:tcPr>
            <w:tcW w:type="dxa" w:w="4320"/>
          </w:tcPr>
          <w:p>
            <w:r/>
            <w:r>
              <w:t xml:space="preserve">A </w:t>
            </w:r>
            <w:r>
              <w:rPr>
                <w:b/>
              </w:rPr>
              <w:t>streak badge</w:t>
            </w:r>
            <w:r>
              <w:t xml:space="preserve"> — how many consecutive days the share has risen (▲) or fallen (▼). A long run can flag momentum building or a sell-off accelerating.</w:t>
            </w:r>
          </w:p>
        </w:tc>
      </w:tr>
      <w:tr>
        <w:tc>
          <w:tcPr>
            <w:tcW w:type="dxa" w:w="4320"/>
          </w:tcPr>
          <w:p>
            <w:r/>
            <w:r>
              <w:rPr>
                <w:b/>
              </w:rPr>
              <w:t>Trend</w:t>
            </w:r>
          </w:p>
        </w:tc>
        <w:tc>
          <w:tcPr>
            <w:tcW w:type="dxa" w:w="4320"/>
          </w:tcPr>
          <w:p>
            <w:r/>
            <w:r>
              <w:t xml:space="preserve">A small 3-month </w:t>
            </w:r>
            <w:r>
              <w:rPr>
                <w:b/>
              </w:rPr>
              <w:t>sparkline</w:t>
            </w:r>
            <w:r>
              <w:t xml:space="preserve"> of the closing price, so you can see the recent shape at a glance.</w:t>
            </w:r>
          </w:p>
        </w:tc>
      </w:tr>
      <w:tr>
        <w:tc>
          <w:tcPr>
            <w:tcW w:type="dxa" w:w="4320"/>
          </w:tcPr>
          <w:p>
            <w:r/>
            <w:r>
              <w:rPr>
                <w:b/>
              </w:rPr>
              <w:t>52W Range</w:t>
            </w:r>
          </w:p>
        </w:tc>
        <w:tc>
          <w:tcPr>
            <w:tcW w:type="dxa" w:w="4320"/>
          </w:tcPr>
          <w:p>
            <w:r/>
            <w:r>
              <w:t>A marker showing where today's price sits between the 52-week low and high — near the right means close to its yearly high.</w:t>
            </w:r>
          </w:p>
        </w:tc>
      </w:tr>
      <w:tr>
        <w:tc>
          <w:tcPr>
            <w:tcW w:type="dxa" w:w="4320"/>
          </w:tcPr>
          <w:p>
            <w:r/>
            <w:r>
              <w:rPr>
                <w:b/>
              </w:rPr>
              <w:t>Target buy</w:t>
            </w:r>
          </w:p>
        </w:tc>
        <w:tc>
          <w:tcPr>
            <w:tcW w:type="dxa" w:w="4320"/>
          </w:tcPr>
          <w:p>
            <w:r/>
            <w:r>
              <w:t xml:space="preserve">An </w:t>
            </w:r>
            <w:r>
              <w:rPr>
                <w:b/>
              </w:rPr>
              <w:t>editable target price</w:t>
            </w:r>
            <w:r>
              <w:t xml:space="preserve"> you can set per company; the app highlights when the price is at or below your target. Click to edit.</w:t>
            </w:r>
          </w:p>
        </w:tc>
      </w:tr>
      <w:tr>
        <w:tc>
          <w:tcPr>
            <w:tcW w:type="dxa" w:w="4320"/>
          </w:tcPr>
          <w:p>
            <w:r/>
            <w:r>
              <w:rPr>
                <w:b/>
              </w:rPr>
              <w:t>News</w:t>
            </w:r>
          </w:p>
        </w:tc>
        <w:tc>
          <w:tcPr>
            <w:tcW w:type="dxa" w:w="4320"/>
          </w:tcPr>
          <w:p>
            <w:r/>
            <w:r>
              <w:t xml:space="preserve">A </w:t>
            </w:r>
            <w:r>
              <w:rPr>
                <w:b/>
              </w:rPr>
              <w:t>7-day news cluster</w:t>
            </w:r>
            <w:r>
              <w:t xml:space="preserve"> combining RNS (regulatory) and press articles, with a dot coloured by the most significant recent RNS tier. Click it to open that company's News tab.</w:t>
            </w:r>
          </w:p>
        </w:tc>
      </w:tr>
      <w:tr>
        <w:tc>
          <w:tcPr>
            <w:tcW w:type="dxa" w:w="4320"/>
          </w:tcPr>
          <w:p>
            <w:r/>
            <w:r>
              <w:rPr>
                <w:b/>
              </w:rPr>
              <w:t>Risk</w:t>
            </w:r>
          </w:p>
        </w:tc>
        <w:tc>
          <w:tcPr>
            <w:tcW w:type="dxa" w:w="4320"/>
          </w:tcPr>
          <w:p>
            <w:r/>
            <w:r>
              <w:t>The 1–10 Risk Score (see §3.2), colour-coded, so you can spot a deteriorating balance sheet without leaving the page.</w:t>
            </w:r>
          </w:p>
        </w:tc>
      </w:tr>
    </w:tbl>
    <w:p>
      <w:r>
        <w:t>All columns are sortable.</w:t>
      </w:r>
    </w:p>
    <w:p>
      <w:r>
        <w:rPr>
          <w:b/>
        </w:rPr>
        <w:t>The per-share News panel</w:t>
      </w:r>
    </w:p>
    <w:p>
      <w:r>
        <w:t xml:space="preserve">Alongside the table the Watchlist shows a </w:t>
      </w:r>
      <w:r>
        <w:rPr>
          <w:b/>
        </w:rPr>
        <w:t>news panel</w:t>
      </w:r>
      <w:r>
        <w:t xml:space="preserve"> for one selected company (RNS + press, newest first). It defaults to the first company in the list; click any row's </w:t>
      </w:r>
      <w:r>
        <w:rPr>
          <w:b/>
        </w:rPr>
        <w:t>News</w:t>
      </w:r>
      <w:r>
        <w:t xml:space="preserve"> cell to switch the panel to that company. This lets you keep an eye on headlines for your whole list without opening each company individually.</w:t>
      </w:r>
    </w:p>
    <w:p>
      <w:r>
        <w:rPr>
          <w:b/>
        </w:rPr>
        <w:t>Why use it:</w:t>
      </w:r>
    </w:p>
    <w:p>
      <w:pPr>
        <w:spacing w:after="40"/>
        <w:ind w:left="360"/>
      </w:pPr>
      <w:r>
        <w:t xml:space="preserve">• </w:t>
      </w:r>
      <w:r>
        <w:t>Build a small focus list of 10–20 companies you monitor closely rather than scanning the whole universe every day.</w:t>
      </w:r>
    </w:p>
    <w:p>
      <w:pPr>
        <w:spacing w:after="40"/>
        <w:ind w:left="360"/>
      </w:pPr>
      <w:r>
        <w:t xml:space="preserve">• </w:t>
      </w:r>
      <w:r>
        <w:t>Spot at a glance which of your names have moved, are on a run, are near their highs, or have just had news.</w:t>
      </w:r>
    </w:p>
    <w:p>
      <w:pPr>
        <w:spacing w:after="40"/>
        <w:ind w:left="360"/>
      </w:pPr>
      <w:r>
        <w:t xml:space="preserve">• </w:t>
      </w:r>
      <w:r>
        <w:t>Keep a "buy when cheaper" list with target-buy prices set, so you are alerted when one reaches your entry level.</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Tip:</w:t>
            </w:r>
            <w:r>
              <w:t xml:space="preserve"> Watchlists are stored in your browser. Clearing your browser data will reset them, and lists are independent across devices.</w:t>
            </w:r>
          </w:p>
        </w:tc>
      </w:tr>
    </w:tbl>
    <w:p>
      <w:pPr>
        <w:pBdr>
          <w:bottom w:val="single" w:sz="6" w:space="1" w:color="CCCCCC"/>
        </w:pBdr>
      </w:pPr>
    </w:p>
    <w:p>
      <w:pPr>
        <w:pStyle w:val="Heading3"/>
      </w:pPr>
      <w:bookmarkStart w:id="22" w:name="mh22"/>
      <w:r>
        <w:t>3.7 Excluding Sectors</w:t>
      </w:r>
      <w:bookmarkEnd w:id="22"/>
    </w:p>
    <w:p>
      <w:r>
        <w:t xml:space="preserve">Sometimes you want to screen "all stocks </w:t>
      </w:r>
      <w:r>
        <w:rPr>
          <w:b/>
        </w:rPr>
        <w:t>except</w:t>
      </w:r>
      <w:r>
        <w:t xml:space="preserve"> these sectors" — for example, you may have ethical preferences (e.g. avoid Tobacco), or you may already have heavy exposure to a sector elsewhere in your portfolio.</w:t>
      </w:r>
    </w:p>
    <w:p>
      <w:r>
        <w:rPr>
          <w:b/>
        </w:rPr>
        <w:t>How it works:</w:t>
      </w:r>
    </w:p>
    <w:p>
      <w:pPr>
        <w:spacing w:after="40"/>
        <w:ind w:left="360"/>
      </w:pPr>
      <w:r>
        <w:t xml:space="preserve">1. </w:t>
      </w:r>
      <w:r>
        <w:t xml:space="preserve">Open the </w:t>
      </w:r>
      <w:r>
        <w:rPr>
          <w:b/>
        </w:rPr>
        <w:t>Sector</w:t>
      </w:r>
      <w:r>
        <w:t xml:space="preserve"> dropdown at the top of the Screener.</w:t>
      </w:r>
    </w:p>
    <w:p>
      <w:pPr>
        <w:spacing w:after="40"/>
        <w:ind w:left="360"/>
      </w:pPr>
      <w:r>
        <w:t xml:space="preserve">2. </w:t>
      </w:r>
      <w:r>
        <w:t xml:space="preserve">Each sector row has a </w:t>
      </w:r>
      <w:r>
        <w:rPr>
          <w:b/>
        </w:rPr>
        <w:t>⊘</w:t>
      </w:r>
      <w:r>
        <w:t xml:space="preserve"> button on the right.</w:t>
      </w:r>
    </w:p>
    <w:p>
      <w:pPr>
        <w:spacing w:after="40"/>
        <w:ind w:left="360"/>
      </w:pPr>
      <w:r>
        <w:t xml:space="preserve">3. </w:t>
      </w:r>
      <w:r>
        <w:t>Click ⊘ to add a sector to your "excluded" list. Excluded sectors appear with a strikethrough in the dropdown.</w:t>
      </w:r>
    </w:p>
    <w:p>
      <w:pPr>
        <w:spacing w:after="40"/>
        <w:ind w:left="360"/>
      </w:pPr>
      <w:r>
        <w:t xml:space="preserve">4. </w:t>
      </w:r>
      <w:r>
        <w:t>Click ⊘ again to un-exclude.</w:t>
      </w:r>
    </w:p>
    <w:p>
      <w:r>
        <w:rPr>
          <w:b/>
        </w:rPr>
        <w:t>Visual feedback:</w:t>
      </w:r>
    </w:p>
    <w:p>
      <w:pPr>
        <w:spacing w:after="40"/>
        <w:ind w:left="360"/>
      </w:pPr>
      <w:r>
        <w:t xml:space="preserve">• </w:t>
      </w:r>
      <w:r>
        <w:t xml:space="preserve">Excluded sectors appear as red chips above the screener table (e.g. </w:t>
      </w:r>
      <w:r>
        <w:rPr>
          <w:i/>
        </w:rPr>
        <w:t>"Excluded: Energy ✕  Tobacco ✕"</w:t>
      </w:r>
      <w:r>
        <w:t>).</w:t>
      </w:r>
    </w:p>
    <w:p>
      <w:pPr>
        <w:spacing w:after="40"/>
        <w:ind w:left="360"/>
      </w:pPr>
      <w:r>
        <w:t xml:space="preserve">• </w:t>
      </w:r>
      <w:r>
        <w:t xml:space="preserve">Click the </w:t>
      </w:r>
      <w:r>
        <w:rPr>
          <w:b/>
        </w:rPr>
        <w:t>✕</w:t>
      </w:r>
      <w:r>
        <w:t xml:space="preserve"> on any chip to remove that exclusion.</w:t>
      </w:r>
    </w:p>
    <w:p>
      <w:pPr>
        <w:spacing w:after="40"/>
        <w:ind w:left="360"/>
      </w:pPr>
      <w:r>
        <w:t xml:space="preserve">• </w:t>
      </w:r>
      <w:r>
        <w:t xml:space="preserve">The dropdown header shows the count, e.g. </w:t>
      </w:r>
      <w:r>
        <w:rPr>
          <w:i/>
        </w:rPr>
        <w:t>"All Sectors (−2)"</w:t>
      </w:r>
      <w:r>
        <w:t>, when exclusions are active.</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Tip:</w:t>
            </w:r>
            <w:r>
              <w:t xml:space="preserve"> You can combine "Sector = Health Care" (to focus on a single sector) with exclusions — but the focused sector takes precedence. Use exclusions when you want everything </w:t>
            </w:r>
            <w:r>
              <w:rPr>
                <w:i/>
              </w:rPr>
              <w:t>except</w:t>
            </w:r>
            <w:r>
              <w:t xml:space="preserve"> certain industries.</w:t>
            </w:r>
          </w:p>
        </w:tc>
      </w:tr>
    </w:tbl>
    <w:p>
      <w:pPr>
        <w:pBdr>
          <w:bottom w:val="single" w:sz="6" w:space="1" w:color="CCCCCC"/>
        </w:pBdr>
      </w:pPr>
    </w:p>
    <w:p>
      <w:pPr>
        <w:pStyle w:val="Heading2"/>
      </w:pPr>
      <w:bookmarkStart w:id="23" w:name="mh23"/>
      <w:r>
        <w:t>4. Company Detail</w:t>
      </w:r>
      <w:bookmarkEnd w:id="23"/>
    </w:p>
    <w:p>
      <w:r>
        <w:t>Click on any company name or ticker to open the Company Detail panel. This gives you a deep dive into a single stock across eight tabs.</w:t>
      </w:r>
    </w:p>
    <w:p>
      <w:pPr>
        <w:pStyle w:val="Heading3"/>
      </w:pPr>
      <w:bookmarkStart w:id="24" w:name="mh24"/>
      <w:r>
        <w:t>4.1 Chart Tab</w:t>
      </w:r>
      <w:bookmarkEnd w:id="24"/>
    </w:p>
    <w:p>
      <w:r>
        <w:t>The default tab when you open a company. It shows an interactive price chart with selectable time ranges and a set of technical overlays you can switch on and off.</w:t>
      </w:r>
    </w:p>
    <w:p>
      <w:r>
        <w:rPr>
          <w:b/>
        </w:rPr>
        <w:t>Time-range buttons:</w:t>
      </w:r>
      <w:r>
        <w:t xml:space="preserve"> </w:t>
      </w:r>
      <w:r>
        <w:rPr>
          <w:b/>
        </w:rPr>
        <w:t>1M · 3M · 6M · 1Y · 3Y · 5Y</w:t>
      </w:r>
      <w:r>
        <w:t xml:space="preserve">. The app loads the full 5-year history behind the scenes, so switching ranges is instant. Above the chart, headline percentage moves are shown for </w:t>
      </w:r>
      <w:r>
        <w:rPr>
          <w:b/>
        </w:rPr>
        <w:t>3M / YTD / 1Y</w:t>
      </w:r>
      <w:r>
        <w:t>.</w:t>
      </w:r>
    </w:p>
    <w:p>
      <w:r>
        <w:rPr>
          <w:b/>
        </w:rPr>
        <w:t>Overlays and sub-panels (toggle each on/off):</w:t>
      </w:r>
    </w:p>
    <w:p>
      <w:pPr>
        <w:spacing w:after="40"/>
        <w:ind w:left="360"/>
      </w:pPr>
      <w:r>
        <w:t xml:space="preserve">• </w:t>
      </w:r>
      <w:r>
        <w:rPr>
          <w:b/>
        </w:rPr>
        <w:t>MA20 (20-day moving average):</w:t>
      </w:r>
      <w:r>
        <w:t xml:space="preserve"> The average closing price over the last 20 trading days — short-term trend. Price above the MA20 = short-term uptrend.</w:t>
      </w:r>
    </w:p>
    <w:p>
      <w:pPr>
        <w:spacing w:after="40"/>
        <w:ind w:left="360"/>
      </w:pPr>
      <w:r>
        <w:t xml:space="preserve">• </w:t>
      </w:r>
      <w:r>
        <w:rPr>
          <w:b/>
        </w:rPr>
        <w:t>MA50 (50-day moving average):</w:t>
      </w:r>
      <w:r>
        <w:t xml:space="preserve"> A medium-term trend indicator. Trading above the MA50 is broadly an uptrend; crossing below is a warning sign.</w:t>
      </w:r>
    </w:p>
    <w:p>
      <w:pPr>
        <w:spacing w:after="40"/>
        <w:ind w:left="360"/>
      </w:pPr>
      <w:r>
        <w:t xml:space="preserve">• </w:t>
      </w:r>
      <w:r>
        <w:rPr>
          <w:b/>
        </w:rPr>
        <w:t>Candles:</w:t>
      </w:r>
      <w:r>
        <w:t xml:space="preserve"> Switches the line to a Japanese candlestick view, showing each period's open, high, low and close — useful for reading intraday strength and reversals.</w:t>
      </w:r>
    </w:p>
    <w:p>
      <w:pPr>
        <w:spacing w:after="40"/>
        <w:ind w:left="360"/>
      </w:pPr>
      <w:r>
        <w:t xml:space="preserve">• </w:t>
      </w:r>
      <w:r>
        <w:rPr>
          <w:b/>
        </w:rPr>
        <w:t>Volume:</w:t>
      </w:r>
      <w:r>
        <w:t xml:space="preserve"> Adds volume bars beneath the price, so you can see whether a move happened on heavy or light trading.</w:t>
      </w:r>
    </w:p>
    <w:p>
      <w:pPr>
        <w:spacing w:after="40"/>
        <w:ind w:left="360"/>
      </w:pPr>
      <w:r>
        <w:t xml:space="preserve">• </w:t>
      </w:r>
      <w:r>
        <w:rPr>
          <w:b/>
        </w:rPr>
        <w:t>MACD (12, 26, 9):</w:t>
      </w:r>
      <w:r>
        <w:t xml:space="preserve"> </w:t>
      </w:r>
      <w:r>
        <w:rPr>
          <w:i/>
        </w:rPr>
        <w:t>Moving Average Convergence Divergence</w:t>
      </w:r>
      <w:r>
        <w:t xml:space="preserve"> — a momentum indicator in its own sub-panel. The MACD line is the difference between the 12-day and 26-day exponential moving averages; the signal line is its 9-day average; the histogram is the gap between them. The MACD crossing above its signal line is a bullish momentum signal; crossing below is bearish.</w:t>
      </w:r>
    </w:p>
    <w:p>
      <w:pPr>
        <w:spacing w:after="40"/>
        <w:ind w:left="360"/>
      </w:pPr>
      <w:r>
        <w:t xml:space="preserve">• </w:t>
      </w:r>
      <w:r>
        <w:rPr>
          <w:b/>
        </w:rPr>
        <w:t>RSI (14):</w:t>
      </w:r>
      <w:r>
        <w:t xml:space="preserve"> The </w:t>
      </w:r>
      <w:r>
        <w:rPr>
          <w:i/>
        </w:rPr>
        <w:t>Relative Strength Index</w:t>
      </w:r>
      <w:r>
        <w:t xml:space="preserve"> over 14 days (Wilder's smoothing), in its own sub-panel on a 0–100 scale. Above 70 is traditionally "overbought" (the rally may be stretched); below 30 is "oversold" (the sell-off may be stretched).</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Your display choices are remembered.</w:t>
            </w:r>
            <w:r>
              <w:t xml:space="preserve"> The range and which overlays are on are </w:t>
            </w:r>
            <w:r>
              <w:rPr>
                <w:b/>
              </w:rPr>
              <w:t>persisted</w:t>
            </w:r>
            <w:r>
              <w:t>, so if you turn off candles and turn on RSI, the next company you open keeps those same settings rather than resetting.</w:t>
            </w:r>
          </w:p>
        </w:tc>
      </w:tr>
    </w:tbl>
    <w:p>
      <w:r>
        <w:rPr>
          <w:b/>
        </w:rPr>
        <w:t>How to read it:</w:t>
      </w:r>
      <w:r>
        <w:t xml:space="preserve"> Look for a pattern of higher highs and higher lows (uptrend) or lower highs and lower lows (downtrend). Price comfortably above both moving averages, with MACD positive and RSI in the 40–70 band, is a technically healthy picture.</w:t>
      </w:r>
    </w:p>
    <w:p>
      <w:pPr>
        <w:pBdr>
          <w:bottom w:val="single" w:sz="6" w:space="1" w:color="CCCCCC"/>
        </w:pBdr>
      </w:pPr>
    </w:p>
    <w:p>
      <w:pPr>
        <w:pStyle w:val="Heading3"/>
      </w:pPr>
      <w:bookmarkStart w:id="25" w:name="mh25"/>
      <w:r>
        <w:t>4.2 Overview Tab</w:t>
      </w:r>
      <w:bookmarkEnd w:id="25"/>
    </w:p>
    <w:p>
      <w:r>
        <w:t>A snapshot of the most important numbers. Key metrics to understand:</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Metric</w:t>
            </w:r>
          </w:p>
        </w:tc>
        <w:tc>
          <w:tcPr>
            <w:tcW w:type="dxa" w:w="4320"/>
            <w:shd w:val="clear" w:color="auto" w:fill="E7ECF3"/>
          </w:tcPr>
          <w:p>
            <w:r>
              <w:rPr>
                <w:b/>
              </w:rPr>
            </w:r>
            <w:r>
              <w:rPr>
                <w:b/>
              </w:rPr>
            </w:r>
            <w:r>
              <w:rPr>
                <w:b/>
              </w:rPr>
              <w:t>Plain English</w:t>
            </w:r>
          </w:p>
        </w:tc>
      </w:tr>
      <w:tr>
        <w:tc>
          <w:tcPr>
            <w:tcW w:type="dxa" w:w="4320"/>
          </w:tcPr>
          <w:p>
            <w:r/>
            <w:r>
              <w:rPr>
                <w:b/>
              </w:rPr>
              <w:t>Revenue</w:t>
            </w:r>
          </w:p>
        </w:tc>
        <w:tc>
          <w:tcPr>
            <w:tcW w:type="dxa" w:w="4320"/>
          </w:tcPr>
          <w:p>
            <w:r/>
            <w:r>
              <w:t>Total sales generated. The top line.</w:t>
            </w:r>
          </w:p>
        </w:tc>
      </w:tr>
      <w:tr>
        <w:tc>
          <w:tcPr>
            <w:tcW w:type="dxa" w:w="4320"/>
          </w:tcPr>
          <w:p>
            <w:r/>
            <w:r>
              <w:rPr>
                <w:b/>
              </w:rPr>
              <w:t>Net Income</w:t>
            </w:r>
          </w:p>
        </w:tc>
        <w:tc>
          <w:tcPr>
            <w:tcW w:type="dxa" w:w="4320"/>
          </w:tcPr>
          <w:p>
            <w:r/>
            <w:r>
              <w:t>Profit after all costs, interest, and tax. The bottom line.</w:t>
            </w:r>
          </w:p>
        </w:tc>
      </w:tr>
      <w:tr>
        <w:tc>
          <w:tcPr>
            <w:tcW w:type="dxa" w:w="4320"/>
          </w:tcPr>
          <w:p>
            <w:r/>
            <w:r>
              <w:rPr>
                <w:b/>
              </w:rPr>
              <w:t>EBITDA</w:t>
            </w:r>
          </w:p>
        </w:tc>
        <w:tc>
          <w:tcPr>
            <w:tcW w:type="dxa" w:w="4320"/>
          </w:tcPr>
          <w:p>
            <w:r/>
            <w:r>
              <w:t>Earnings Before Interest, Tax, Depreciation &amp; Amortisation. A proxy for operational cash-generating ability, often used for cross-company comparisons.</w:t>
            </w:r>
          </w:p>
        </w:tc>
      </w:tr>
      <w:tr>
        <w:tc>
          <w:tcPr>
            <w:tcW w:type="dxa" w:w="4320"/>
          </w:tcPr>
          <w:p>
            <w:r/>
            <w:r>
              <w:rPr>
                <w:b/>
              </w:rPr>
              <w:t>FCF (Free Cash Flow)</w:t>
            </w:r>
          </w:p>
        </w:tc>
        <w:tc>
          <w:tcPr>
            <w:tcW w:type="dxa" w:w="4320"/>
          </w:tcPr>
          <w:p>
            <w:r/>
            <w:r>
              <w:t>Cash left over after capital expenditure. This is the cash available to pay dividends, buy back shares, or pay down debt. Many consider this the most important profitability metric.</w:t>
            </w:r>
          </w:p>
        </w:tc>
      </w:tr>
      <w:tr>
        <w:tc>
          <w:tcPr>
            <w:tcW w:type="dxa" w:w="4320"/>
          </w:tcPr>
          <w:p>
            <w:r/>
            <w:r>
              <w:rPr>
                <w:b/>
              </w:rPr>
              <w:t>EPS (Earnings Per Share)</w:t>
            </w:r>
          </w:p>
        </w:tc>
        <w:tc>
          <w:tcPr>
            <w:tcW w:type="dxa" w:w="4320"/>
          </w:tcPr>
          <w:p>
            <w:r/>
            <w:r>
              <w:t>Net income divided by number of shares. Tells you how much profit each share generates. Rising EPS is positive; falling EPS is a warning.</w:t>
            </w:r>
          </w:p>
        </w:tc>
      </w:tr>
      <w:tr>
        <w:tc>
          <w:tcPr>
            <w:tcW w:type="dxa" w:w="4320"/>
          </w:tcPr>
          <w:p>
            <w:r/>
            <w:r>
              <w:rPr>
                <w:b/>
              </w:rPr>
              <w:t>ROIC</w:t>
            </w:r>
          </w:p>
        </w:tc>
        <w:tc>
          <w:tcPr>
            <w:tcW w:type="dxa" w:w="4320"/>
          </w:tcPr>
          <w:p>
            <w:r/>
            <w:r>
              <w:t>Return on Invested Capital — see Quality Score section.</w:t>
            </w:r>
          </w:p>
        </w:tc>
      </w:tr>
      <w:tr>
        <w:tc>
          <w:tcPr>
            <w:tcW w:type="dxa" w:w="4320"/>
          </w:tcPr>
          <w:p>
            <w:r/>
            <w:r>
              <w:rPr>
                <w:b/>
              </w:rPr>
              <w:t>ROCE</w:t>
            </w:r>
          </w:p>
        </w:tc>
        <w:tc>
          <w:tcPr>
            <w:tcW w:type="dxa" w:w="4320"/>
          </w:tcPr>
          <w:p>
            <w:r/>
            <w:r>
              <w:t>Return on Capital Employed — similar to ROIC, widely used in the UK.</w:t>
            </w:r>
          </w:p>
        </w:tc>
      </w:tr>
      <w:tr>
        <w:tc>
          <w:tcPr>
            <w:tcW w:type="dxa" w:w="4320"/>
          </w:tcPr>
          <w:p>
            <w:r/>
            <w:r>
              <w:rPr>
                <w:b/>
              </w:rPr>
              <w:t>Current Ratio</w:t>
            </w:r>
          </w:p>
        </w:tc>
        <w:tc>
          <w:tcPr>
            <w:tcW w:type="dxa" w:w="4320"/>
          </w:tcPr>
          <w:p>
            <w:r/>
            <w:r>
              <w:t>Current assets ÷ current liabilities. A ratio above 1.0 means the company can cover its near-term bills. Below 1.0 is a potential liquidity concern.</w:t>
            </w:r>
          </w:p>
        </w:tc>
      </w:tr>
      <w:tr>
        <w:tc>
          <w:tcPr>
            <w:tcW w:type="dxa" w:w="4320"/>
          </w:tcPr>
          <w:p>
            <w:r/>
            <w:r>
              <w:rPr>
                <w:b/>
              </w:rPr>
              <w:t>Interest Coverage</w:t>
            </w:r>
          </w:p>
        </w:tc>
        <w:tc>
          <w:tcPr>
            <w:tcW w:type="dxa" w:w="4320"/>
          </w:tcPr>
          <w:p>
            <w:r/>
            <w:r>
              <w:t>Operating profit ÷ interest expense. How many times over the company can pay its interest bill. Below 2× is risky; above 5× is comfortable.</w:t>
            </w:r>
          </w:p>
        </w:tc>
      </w:tr>
    </w:tbl>
    <w:p>
      <w:pPr>
        <w:pBdr>
          <w:bottom w:val="single" w:sz="6" w:space="1" w:color="CCCCCC"/>
        </w:pBdr>
      </w:pPr>
    </w:p>
    <w:p>
      <w:pPr>
        <w:pStyle w:val="Heading3"/>
      </w:pPr>
      <w:bookmarkStart w:id="26" w:name="mh26"/>
      <w:r>
        <w:t>4.3 Financials Tab</w:t>
      </w:r>
      <w:bookmarkEnd w:id="26"/>
    </w:p>
    <w:p>
      <w:r>
        <w:t>Shows five years of annual income statement data in chart form:</w:t>
      </w:r>
    </w:p>
    <w:p>
      <w:pPr>
        <w:spacing w:after="40"/>
        <w:ind w:left="360"/>
      </w:pPr>
      <w:r>
        <w:t xml:space="preserve">• </w:t>
      </w:r>
      <w:r>
        <w:rPr>
          <w:b/>
        </w:rPr>
        <w:t>Revenue</w:t>
      </w:r>
      <w:r>
        <w:t xml:space="preserve"> — Are sales growing? Is growth accelerating or decelerating?</w:t>
      </w:r>
    </w:p>
    <w:p>
      <w:pPr>
        <w:spacing w:after="40"/>
        <w:ind w:left="360"/>
      </w:pPr>
      <w:r>
        <w:t xml:space="preserve">• </w:t>
      </w:r>
      <w:r>
        <w:rPr>
          <w:b/>
        </w:rPr>
        <w:t>Gross Profit</w:t>
      </w:r>
      <w:r>
        <w:t xml:space="preserve"> — Is the gross margin (Gross Profit / Revenue) stable or expanding?</w:t>
      </w:r>
    </w:p>
    <w:p>
      <w:pPr>
        <w:spacing w:after="40"/>
        <w:ind w:left="360"/>
      </w:pPr>
      <w:r>
        <w:t xml:space="preserve">• </w:t>
      </w:r>
      <w:r>
        <w:rPr>
          <w:b/>
        </w:rPr>
        <w:t>Operating Income</w:t>
      </w:r>
      <w:r>
        <w:t xml:space="preserve"> — Is the business becoming more or less operationally efficient?</w:t>
      </w:r>
    </w:p>
    <w:p>
      <w:pPr>
        <w:spacing w:after="40"/>
        <w:ind w:left="360"/>
      </w:pPr>
      <w:r>
        <w:t xml:space="preserve">• </w:t>
      </w:r>
      <w:r>
        <w:rPr>
          <w:b/>
        </w:rPr>
        <w:t>EBITDA</w:t>
      </w:r>
      <w:r>
        <w:t xml:space="preserve"> — Is cash earnings power growing?</w:t>
      </w:r>
    </w:p>
    <w:p>
      <w:pPr>
        <w:spacing w:after="40"/>
        <w:ind w:left="360"/>
      </w:pPr>
      <w:r>
        <w:t xml:space="preserve">• </w:t>
      </w:r>
      <w:r>
        <w:rPr>
          <w:b/>
        </w:rPr>
        <w:t>Net Income</w:t>
      </w:r>
      <w:r>
        <w:t xml:space="preserve"> — Is the bottom line growing?</w:t>
      </w:r>
    </w:p>
    <w:p>
      <w:pPr>
        <w:spacing w:after="40"/>
        <w:ind w:left="360"/>
      </w:pPr>
      <w:r>
        <w:t xml:space="preserve">• </w:t>
      </w:r>
      <w:r>
        <w:rPr>
          <w:b/>
        </w:rPr>
        <w:t>Free Cash Flow</w:t>
      </w:r>
      <w:r>
        <w:t xml:space="preserve"> — Is the company converting profit to cash?</w:t>
      </w:r>
    </w:p>
    <w:p>
      <w:r>
        <w:rPr>
          <w:b/>
        </w:rPr>
        <w:t>What to look for:</w:t>
      </w:r>
      <w:r>
        <w:t xml:space="preserve"> All five lines ideally trending upward over 5 years. A company where revenue grows but net income and FCF do not is potentially a value trap — revenue growth is not translating into shareholder value.</w:t>
      </w:r>
    </w:p>
    <w:p>
      <w:pPr>
        <w:pBdr>
          <w:bottom w:val="single" w:sz="6" w:space="1" w:color="CCCCCC"/>
        </w:pBdr>
      </w:pPr>
    </w:p>
    <w:p>
      <w:pPr>
        <w:pStyle w:val="Heading3"/>
      </w:pPr>
      <w:bookmarkStart w:id="27" w:name="mh27"/>
      <w:r>
        <w:t>4.4 Valuation Tab</w:t>
      </w:r>
      <w:bookmarkEnd w:id="27"/>
    </w:p>
    <w:p>
      <w:r>
        <w:t>Contains valuation multiples and return metrics: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7ECF3"/>
          </w:tcPr>
          <w:p>
            <w:r>
              <w:rPr>
                <w:b/>
              </w:rPr>
            </w:r>
            <w:r>
              <w:rPr>
                <w:b/>
              </w:rPr>
            </w:r>
            <w:r>
              <w:rPr>
                <w:b/>
              </w:rPr>
              <w:t>Metric</w:t>
            </w:r>
          </w:p>
        </w:tc>
        <w:tc>
          <w:tcPr>
            <w:tcW w:type="dxa" w:w="2880"/>
            <w:shd w:val="clear" w:color="auto" w:fill="E7ECF3"/>
          </w:tcPr>
          <w:p>
            <w:r>
              <w:rPr>
                <w:b/>
              </w:rPr>
            </w:r>
            <w:r>
              <w:rPr>
                <w:b/>
              </w:rPr>
            </w:r>
            <w:r>
              <w:rPr>
                <w:b/>
              </w:rPr>
              <w:t>What it tells you</w:t>
            </w:r>
          </w:p>
        </w:tc>
        <w:tc>
          <w:tcPr>
            <w:tcW w:type="dxa" w:w="2880"/>
            <w:shd w:val="clear" w:color="auto" w:fill="E7ECF3"/>
          </w:tcPr>
          <w:p>
            <w:r>
              <w:rPr>
                <w:b/>
              </w:rPr>
            </w:r>
            <w:r>
              <w:rPr>
                <w:b/>
              </w:rPr>
            </w:r>
            <w:r>
              <w:rPr>
                <w:b/>
              </w:rPr>
              <w:t>Typical ranges (context-dependent)</w:t>
            </w:r>
          </w:p>
        </w:tc>
      </w:tr>
      <w:tr>
        <w:tc>
          <w:tcPr>
            <w:tcW w:type="dxa" w:w="2880"/>
          </w:tcPr>
          <w:p>
            <w:r/>
            <w:r>
              <w:rPr>
                <w:b/>
              </w:rPr>
              <w:t>P/E</w:t>
            </w:r>
          </w:p>
        </w:tc>
        <w:tc>
          <w:tcPr>
            <w:tcW w:type="dxa" w:w="2880"/>
          </w:tcPr>
          <w:p>
            <w:r/>
            <w:r>
              <w:t>How expensive the stock is relative to earnings</w:t>
            </w:r>
          </w:p>
        </w:tc>
        <w:tc>
          <w:tcPr>
            <w:tcW w:type="dxa" w:w="2880"/>
          </w:tcPr>
          <w:p>
            <w:r/>
            <w:r>
              <w:t>10–15 cheap; 20–30 fair for growth; 40+ expensive</w:t>
            </w:r>
          </w:p>
        </w:tc>
      </w:tr>
      <w:tr>
        <w:tc>
          <w:tcPr>
            <w:tcW w:type="dxa" w:w="2880"/>
          </w:tcPr>
          <w:p>
            <w:r/>
            <w:r>
              <w:rPr>
                <w:b/>
              </w:rPr>
              <w:t>P/B</w:t>
            </w:r>
          </w:p>
        </w:tc>
        <w:tc>
          <w:tcPr>
            <w:tcW w:type="dxa" w:w="2880"/>
          </w:tcPr>
          <w:p>
            <w:r/>
            <w:r>
              <w:t>Price relative to book value</w:t>
            </w:r>
          </w:p>
        </w:tc>
        <w:tc>
          <w:tcPr>
            <w:tcW w:type="dxa" w:w="2880"/>
          </w:tcPr>
          <w:p>
            <w:r/>
            <w:r>
              <w:t>&lt; 1 can indicate undervalue; &gt; 5 indicates market expects high returns</w:t>
            </w:r>
          </w:p>
        </w:tc>
      </w:tr>
      <w:tr>
        <w:tc>
          <w:tcPr>
            <w:tcW w:type="dxa" w:w="2880"/>
          </w:tcPr>
          <w:p>
            <w:r/>
            <w:r>
              <w:rPr>
                <w:b/>
              </w:rPr>
              <w:t>P/S (Price/Sales)</w:t>
            </w:r>
          </w:p>
        </w:tc>
        <w:tc>
          <w:tcPr>
            <w:tcW w:type="dxa" w:w="2880"/>
          </w:tcPr>
          <w:p>
            <w:r/>
            <w:r>
              <w:t>Useful when a company is not yet profitable</w:t>
            </w:r>
          </w:p>
        </w:tc>
        <w:tc>
          <w:tcPr>
            <w:tcW w:type="dxa" w:w="2880"/>
          </w:tcPr>
          <w:p>
            <w:r/>
            <w:r>
              <w:t>&lt; 1 cheap; &gt; 5 expensive for most sectors</w:t>
            </w:r>
          </w:p>
        </w:tc>
      </w:tr>
      <w:tr>
        <w:tc>
          <w:tcPr>
            <w:tcW w:type="dxa" w:w="2880"/>
          </w:tcPr>
          <w:p>
            <w:r/>
            <w:r>
              <w:rPr>
                <w:b/>
              </w:rPr>
              <w:t>EV/EBITDA</w:t>
            </w:r>
          </w:p>
        </w:tc>
        <w:tc>
          <w:tcPr>
            <w:tcW w:type="dxa" w:w="2880"/>
          </w:tcPr>
          <w:p>
            <w:r/>
            <w:r>
              <w:t>Enterprise value relative to operational earnings. Used for buyout valuations.</w:t>
            </w:r>
          </w:p>
        </w:tc>
        <w:tc>
          <w:tcPr>
            <w:tcW w:type="dxa" w:w="2880"/>
          </w:tcPr>
          <w:p>
            <w:r/>
            <w:r>
              <w:t>8–12 fair for most sectors; &lt; 6 potentially cheap</w:t>
            </w:r>
          </w:p>
        </w:tc>
      </w:tr>
    </w:tbl>
    <w:p>
      <w:r>
        <w:t xml:space="preserve">The </w:t>
      </w:r>
      <w:r>
        <w:rPr>
          <w:b/>
        </w:rPr>
        <w:t>EPS History</w:t>
      </w:r>
      <w:r>
        <w:t xml:space="preserve"> and </w:t>
      </w:r>
      <w:r>
        <w:rPr>
          <w:b/>
        </w:rPr>
        <w:t>Return on Capital</w:t>
      </w:r>
      <w:r>
        <w:t xml:space="preserve"> charts show trends over time — critical context for any single-year number.</w:t>
      </w:r>
    </w:p>
    <w:p>
      <w:pPr>
        <w:pBdr>
          <w:bottom w:val="single" w:sz="6" w:space="1" w:color="CCCCCC"/>
        </w:pBdr>
      </w:pPr>
    </w:p>
    <w:p>
      <w:pPr>
        <w:pStyle w:val="Heading3"/>
      </w:pPr>
      <w:bookmarkStart w:id="28" w:name="mh28"/>
      <w:r>
        <w:t>4.5 Health Tab</w:t>
      </w:r>
      <w:bookmarkEnd w:id="28"/>
    </w:p>
    <w:p>
      <w:r>
        <w:t>Focuses on balance sheet and financial risk:</w:t>
      </w:r>
    </w:p>
    <w:p>
      <w:pPr>
        <w:spacing w:after="40"/>
        <w:ind w:left="360"/>
      </w:pPr>
      <w:r>
        <w:t xml:space="preserve">• </w:t>
      </w:r>
      <w:r>
        <w:rPr>
          <w:b/>
        </w:rPr>
        <w:t>Current Ratio trend</w:t>
      </w:r>
      <w:r>
        <w:t xml:space="preserve"> — Is the ability to meet short-term obligations improving or worsening?</w:t>
      </w:r>
    </w:p>
    <w:p>
      <w:pPr>
        <w:spacing w:after="40"/>
        <w:ind w:left="360"/>
      </w:pPr>
      <w:r>
        <w:t xml:space="preserve">• </w:t>
      </w:r>
      <w:r>
        <w:rPr>
          <w:b/>
        </w:rPr>
        <w:t>Net Debt</w:t>
      </w:r>
      <w:r>
        <w:t xml:space="preserve"> — Total debt minus cash. Negative net debt (more cash than debt) is an extremely healthy position.</w:t>
      </w:r>
    </w:p>
    <w:p>
      <w:pPr>
        <w:spacing w:after="40"/>
        <w:ind w:left="360"/>
      </w:pPr>
      <w:r>
        <w:t xml:space="preserve">• </w:t>
      </w:r>
      <w:r>
        <w:rPr>
          <w:b/>
        </w:rPr>
        <w:t>Altman Z-Score</w:t>
      </w:r>
      <w:r>
        <w:t xml:space="preserve"> — See the Risk Score section (3.2). The visual risk gauge shows at a glance whether the company is in the safe, grey, or distress zone. </w:t>
      </w:r>
      <w:r>
        <w:rPr>
          <w:b/>
        </w:rPr>
        <w:t>Note:</w:t>
      </w:r>
      <w:r>
        <w:t xml:space="preserve"> this gauge appears only for ordinary companies. </w:t>
      </w:r>
      <w:r>
        <w:rPr>
          <w:b/>
        </w:rPr>
        <w:t>Banks and insurers do not show an Altman gauge</w:t>
      </w:r>
      <w:r>
        <w:t xml:space="preserve"> because the model is invalid for leveraged balance sheets — their risk is scored from volatility + ROE instead (see §3.2).</w:t>
      </w:r>
    </w:p>
    <w:p>
      <w:pPr>
        <w:spacing w:after="40"/>
        <w:ind w:left="360"/>
      </w:pPr>
      <w:r>
        <w:t xml:space="preserve">• </w:t>
      </w:r>
      <w:r>
        <w:rPr>
          <w:b/>
        </w:rPr>
        <w:t>Debt/Equity trend</w:t>
      </w:r>
      <w:r>
        <w:t xml:space="preserve"> — Is leverage increasing (risk rising) or falling (risk reducing)?</w:t>
      </w:r>
    </w:p>
    <w:p>
      <w:pPr>
        <w:spacing w:after="40"/>
        <w:ind w:left="360"/>
      </w:pPr>
      <w:r>
        <w:t xml:space="preserve">• </w:t>
      </w:r>
      <w:r>
        <w:rPr>
          <w:b/>
        </w:rPr>
        <w:t>Dividend Data link</w:t>
      </w:r>
      <w:r>
        <w:t xml:space="preserve"> — For dividend payers where a clean stored yield is not available, a </w:t>
      </w:r>
      <w:r>
        <w:rPr>
          <w:b/>
        </w:rPr>
        <w:t>"Dividend Data" link</w:t>
      </w:r>
      <w:r>
        <w:t xml:space="preserve"> is shown so you can check the company's dividend history directly.</w:t>
      </w:r>
    </w:p>
    <w:p>
      <w:pPr>
        <w:pBdr>
          <w:bottom w:val="single" w:sz="6" w:space="1" w:color="CCCCCC"/>
        </w:pBdr>
      </w:pPr>
    </w:p>
    <w:p>
      <w:pPr>
        <w:pStyle w:val="Heading3"/>
      </w:pPr>
      <w:bookmarkStart w:id="29" w:name="mh29"/>
      <w:r>
        <w:t>4.6 Growth Tab</w:t>
      </w:r>
      <w:bookmarkEnd w:id="29"/>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Metric</w:t>
            </w:r>
          </w:p>
        </w:tc>
        <w:tc>
          <w:tcPr>
            <w:tcW w:type="dxa" w:w="4320"/>
            <w:shd w:val="clear" w:color="auto" w:fill="E7ECF3"/>
          </w:tcPr>
          <w:p>
            <w:r>
              <w:rPr>
                <w:b/>
              </w:rPr>
            </w:r>
            <w:r>
              <w:rPr>
                <w:b/>
              </w:rPr>
            </w:r>
            <w:r>
              <w:rPr>
                <w:b/>
              </w:rPr>
              <w:t>What to look for</w:t>
            </w:r>
          </w:p>
        </w:tc>
      </w:tr>
      <w:tr>
        <w:tc>
          <w:tcPr>
            <w:tcW w:type="dxa" w:w="4320"/>
          </w:tcPr>
          <w:p>
            <w:r/>
            <w:r>
              <w:rPr>
                <w:b/>
              </w:rPr>
              <w:t>Revenue CAGR</w:t>
            </w:r>
          </w:p>
        </w:tc>
        <w:tc>
          <w:tcPr>
            <w:tcW w:type="dxa" w:w="4320"/>
          </w:tcPr>
          <w:p>
            <w:r/>
            <w:r>
              <w:t>Compound Annual Growth Rate — the year-on-year growth rate if returns were smoothed out. A 10%+ Revenue CAGR over 5–10 years is strong.</w:t>
            </w:r>
          </w:p>
        </w:tc>
      </w:tr>
      <w:tr>
        <w:tc>
          <w:tcPr>
            <w:tcW w:type="dxa" w:w="4320"/>
          </w:tcPr>
          <w:p>
            <w:r/>
            <w:r>
              <w:rPr>
                <w:b/>
              </w:rPr>
              <w:t>EPS CAGR</w:t>
            </w:r>
          </w:p>
        </w:tc>
        <w:tc>
          <w:tcPr>
            <w:tcW w:type="dxa" w:w="4320"/>
          </w:tcPr>
          <w:p>
            <w:r/>
            <w:r>
              <w:t>Are earnings per share growing faster or slower than revenue? Faster EPS growth = expanding margins.</w:t>
            </w:r>
          </w:p>
        </w:tc>
      </w:tr>
      <w:tr>
        <w:tc>
          <w:tcPr>
            <w:tcW w:type="dxa" w:w="4320"/>
          </w:tcPr>
          <w:p>
            <w:r/>
            <w:r>
              <w:rPr>
                <w:b/>
              </w:rPr>
              <w:t>FCF CAGR</w:t>
            </w:r>
          </w:p>
        </w:tc>
        <w:tc>
          <w:tcPr>
            <w:tcW w:type="dxa" w:w="4320"/>
          </w:tcPr>
          <w:p>
            <w:r/>
            <w:r>
              <w:t>Growing free cash flow is the ultimate sign of a compounding business.</w:t>
            </w:r>
          </w:p>
        </w:tc>
      </w:tr>
      <w:tr>
        <w:tc>
          <w:tcPr>
            <w:tcW w:type="dxa" w:w="4320"/>
          </w:tcPr>
          <w:p>
            <w:r/>
            <w:r>
              <w:rPr>
                <w:b/>
              </w:rPr>
              <w:t>Margin trends</w:t>
            </w:r>
          </w:p>
        </w:tc>
        <w:tc>
          <w:tcPr>
            <w:tcW w:type="dxa" w:w="4320"/>
          </w:tcPr>
          <w:p>
            <w:r/>
            <w:r>
              <w:t>Expanding gross, operating, and net margins signal an improving competitive position.</w:t>
            </w:r>
          </w:p>
        </w:tc>
      </w:tr>
    </w:tbl>
    <w:p>
      <w:pPr>
        <w:pBdr>
          <w:bottom w:val="single" w:sz="6" w:space="1" w:color="CCCCCC"/>
        </w:pBdr>
      </w:pPr>
    </w:p>
    <w:p>
      <w:pPr>
        <w:pStyle w:val="Heading3"/>
      </w:pPr>
      <w:bookmarkStart w:id="30" w:name="mh30"/>
      <w:r>
        <w:t>4.7 Analysts Tab</w:t>
      </w:r>
      <w:bookmarkEnd w:id="30"/>
    </w:p>
    <w:p>
      <w:r>
        <w:t>The most detailed analyst view:</w:t>
      </w:r>
    </w:p>
    <w:p>
      <w:pPr>
        <w:spacing w:after="40"/>
        <w:ind w:left="360"/>
      </w:pPr>
      <w:r>
        <w:t xml:space="preserve">• </w:t>
      </w:r>
      <w:r>
        <w:rPr>
          <w:b/>
        </w:rPr>
        <w:t>Consensus bar chart</w:t>
      </w:r>
      <w:r>
        <w:t xml:space="preserve"> — Visual breakdown of Strong Buy / Buy / Hold / Sell / Strong Sell ratings.</w:t>
      </w:r>
    </w:p>
    <w:p>
      <w:pPr>
        <w:spacing w:after="40"/>
        <w:ind w:left="360"/>
      </w:pPr>
      <w:r>
        <w:t xml:space="preserve">• </w:t>
      </w:r>
      <w:r>
        <w:rPr>
          <w:b/>
        </w:rPr>
        <w:t>Price targets</w:t>
      </w:r>
      <w:r>
        <w:t xml:space="preserve"> — Mean, median, high, and low analyst price targets versus the current price.</w:t>
      </w:r>
    </w:p>
    <w:p>
      <w:pPr>
        <w:spacing w:after="40"/>
        <w:ind w:left="360"/>
      </w:pPr>
      <w:r>
        <w:t xml:space="preserve">• </w:t>
      </w:r>
      <w:r>
        <w:rPr>
          <w:b/>
        </w:rPr>
        <w:t>EPS estimates</w:t>
      </w:r>
      <w:r>
        <w:t xml:space="preserve"> — What analysts collectively expect the company to earn this quarter, next quarter, this year, and next year.</w:t>
      </w:r>
    </w:p>
    <w:p>
      <w:pPr>
        <w:spacing w:after="40"/>
        <w:ind w:left="360"/>
      </w:pPr>
      <w:r>
        <w:t xml:space="preserve">• </w:t>
      </w:r>
      <w:r>
        <w:rPr>
          <w:b/>
        </w:rPr>
        <w:t>Revenue estimates</w:t>
      </w:r>
      <w:r>
        <w:t xml:space="preserve"> — Expected sales for this year and next.</w:t>
      </w:r>
    </w:p>
    <w:p>
      <w:pPr>
        <w:spacing w:after="40"/>
        <w:ind w:left="360"/>
      </w:pPr>
      <w:r>
        <w:t xml:space="preserve">• </w:t>
      </w:r>
      <w:r>
        <w:rPr>
          <w:b/>
        </w:rPr>
        <w:t>Revisions</w:t>
      </w:r>
      <w:r>
        <w:t xml:space="preserve"> — Number of upward and downward EPS revisions in the last 7 and 30 days.</w:t>
      </w:r>
    </w:p>
    <w:p>
      <w:r>
        <w:rPr>
          <w:b/>
        </w:rPr>
        <w:t>The revision trend is particularly powerful.</w:t>
      </w:r>
      <w:r>
        <w:t xml:space="preserve"> When analysts start revising their earnings estimates upward, it often precedes share price appreciation as the market reprices the improved outlook. Similarly, downward revisions are an early warning.</w:t>
      </w:r>
    </w:p>
    <w:p>
      <w:pPr>
        <w:pBdr>
          <w:bottom w:val="single" w:sz="6" w:space="1" w:color="CCCCCC"/>
        </w:pBdr>
      </w:pPr>
    </w:p>
    <w:p>
      <w:pPr>
        <w:pStyle w:val="Heading3"/>
      </w:pPr>
      <w:bookmarkStart w:id="31" w:name="mh31"/>
      <w:r>
        <w:t>4.8 Company News Tab — Press, RNS &amp; AI Summary</w:t>
      </w:r>
      <w:bookmarkEnd w:id="31"/>
    </w:p>
    <w:p>
      <w:r>
        <w:t xml:space="preserve">The Company News tab pulls together everything written about the company over the </w:t>
      </w:r>
      <w:r>
        <w:rPr>
          <w:b/>
        </w:rPr>
        <w:t>last 6 months</w:t>
      </w:r>
      <w:r>
        <w:t xml:space="preserve"> in one place, and lets you ask the AI to summarise it for you.</w:t>
      </w:r>
    </w:p>
    <w:p>
      <w:r>
        <w:rPr>
          <w:b/>
        </w:rPr>
        <w:t>Three sections on this tab:</w:t>
      </w:r>
    </w:p>
    <w:p>
      <w:pPr>
        <w:spacing w:after="40"/>
        <w:ind w:left="360"/>
      </w:pPr>
      <w:r>
        <w:t xml:space="preserve">1. </w:t>
      </w:r>
      <w:r>
        <w:rPr>
          <w:b/>
        </w:rPr>
        <w:t>AI Summary — Last 60 Days</w:t>
      </w:r>
      <w:r>
        <w:t xml:space="preserve"> </w:t>
      </w:r>
      <w:r>
        <w:rPr>
          <w:i/>
        </w:rPr>
        <w:t>(top of page, purple panel)</w:t>
      </w:r>
    </w:p>
    <w:p>
      <w:pPr>
        <w:spacing w:after="40"/>
        <w:ind w:left="720"/>
      </w:pPr>
      <w:r>
        <w:t xml:space="preserve">– </w:t>
      </w:r>
      <w:r>
        <w:t xml:space="preserve">Press the </w:t>
      </w:r>
      <w:r>
        <w:rPr>
          <w:b/>
        </w:rPr>
        <w:t>✦ Generate summary</w:t>
      </w:r>
      <w:r>
        <w:t xml:space="preserve"> button and DeepSeek (an AI model) will read every regulatory announcement and press article from the last 60 days, then produce:</w:t>
      </w:r>
    </w:p>
    <w:p>
      <w:pPr>
        <w:spacing w:after="40"/>
        <w:ind w:left="1080"/>
      </w:pPr>
      <w:r>
        <w:t xml:space="preserve">– </w:t>
      </w:r>
      <w:r>
        <w:rPr>
          <w:b/>
        </w:rPr>
        <w:t>Summary paragraph:</w:t>
      </w:r>
      <w:r>
        <w:t xml:space="preserve"> the top-level story</w:t>
      </w:r>
    </w:p>
    <w:p>
      <w:pPr>
        <w:spacing w:after="40"/>
        <w:ind w:left="1080"/>
      </w:pPr>
      <w:r>
        <w:t xml:space="preserve">– </w:t>
      </w:r>
      <w:r>
        <w:rPr>
          <w:b/>
        </w:rPr>
        <w:t>Key themes:</w:t>
      </w:r>
      <w:r>
        <w:t xml:space="preserve"> 2–4 bulleted angles (e.g. "Margin pressure from input costs", "Successful product launch in Asia")</w:t>
      </w:r>
    </w:p>
    <w:p>
      <w:pPr>
        <w:spacing w:after="40"/>
        <w:ind w:left="1080"/>
      </w:pPr>
      <w:r>
        <w:t xml:space="preserve">– </w:t>
      </w:r>
      <w:r>
        <w:rPr>
          <w:b/>
        </w:rPr>
        <w:t>Watch Next:</w:t>
      </w:r>
      <w:r>
        <w:t xml:space="preserve"> the one or two events that will determine whether the story continues or breaks</w:t>
      </w:r>
    </w:p>
    <w:p>
      <w:pPr>
        <w:spacing w:after="40"/>
        <w:ind w:left="720"/>
      </w:pPr>
      <w:r>
        <w:t xml:space="preserve">– </w:t>
      </w:r>
      <w:r>
        <w:t xml:space="preserve">Click </w:t>
      </w:r>
      <w:r>
        <w:rPr>
          <w:b/>
        </w:rPr>
        <w:t>↻ Regenerate</w:t>
      </w:r>
      <w:r>
        <w:t xml:space="preserve"> if new news has come in since the last summary.</w:t>
      </w:r>
    </w:p>
    <w:p>
      <w:pPr>
        <w:spacing w:after="40"/>
        <w:ind w:left="360"/>
      </w:pPr>
      <w:r>
        <w:t xml:space="preserve">2. </w:t>
      </w:r>
      <w:r>
        <w:rPr>
          <w:b/>
        </w:rPr>
        <w:t>Regulatory (RNS) feed</w:t>
      </w:r>
      <w:r>
        <w:t xml:space="preserve"> </w:t>
      </w:r>
      <w:r>
        <w:rPr>
          <w:i/>
        </w:rPr>
        <w:t>(orange header)</w:t>
      </w:r>
    </w:p>
    <w:p>
      <w:pPr>
        <w:spacing w:after="40"/>
        <w:ind w:left="720"/>
      </w:pPr>
      <w:r>
        <w:t xml:space="preserve">– </w:t>
      </w:r>
      <w:r>
        <w:t>The official Stock Exchange announcements the company has filed (results, M&amp;A, director dealings, contract wins, capital raises, etc.).</w:t>
      </w:r>
    </w:p>
    <w:p>
      <w:pPr>
        <w:spacing w:after="40"/>
        <w:ind w:left="720"/>
      </w:pPr>
      <w:r>
        <w:t xml:space="preserve">– </w:t>
      </w:r>
      <w:r>
        <w:t>Each row shows:</w:t>
      </w:r>
    </w:p>
    <w:p>
      <w:pPr>
        <w:spacing w:after="40"/>
        <w:ind w:left="1080"/>
      </w:pPr>
      <w:r>
        <w:t xml:space="preserve">– </w:t>
      </w:r>
      <w:r>
        <w:rPr>
          <w:b/>
        </w:rPr>
        <w:t>Tier badge</w:t>
      </w:r>
      <w:r>
        <w:t xml:space="preserve"> (A / B / C) — the AI's view of how significant the announcement is. See </w:t>
      </w:r>
      <w:r>
        <w:t>Section 8</w:t>
      </w:r>
      <w:r>
        <w:t>.</w:t>
      </w:r>
    </w:p>
    <w:p>
      <w:pPr>
        <w:spacing w:after="40"/>
        <w:ind w:left="1080"/>
      </w:pPr>
      <w:r>
        <w:t xml:space="preserve">– </w:t>
      </w:r>
      <w:r>
        <w:rPr>
          <w:b/>
        </w:rPr>
        <w:t>Headline</w:t>
      </w:r>
      <w:r>
        <w:t xml:space="preserve"> — click to open the full announcement on Investegate.</w:t>
      </w:r>
    </w:p>
    <w:p>
      <w:pPr>
        <w:spacing w:after="40"/>
        <w:ind w:left="1080"/>
      </w:pPr>
      <w:r>
        <w:t xml:space="preserve">– </w:t>
      </w:r>
      <w:r>
        <w:rPr>
          <w:b/>
        </w:rPr>
        <w:t>AI thesis</w:t>
      </w:r>
      <w:r>
        <w:t xml:space="preserve"> — a one-sentence interpretation of why the announcement matters (when available).</w:t>
      </w:r>
    </w:p>
    <w:p>
      <w:pPr>
        <w:spacing w:after="40"/>
        <w:ind w:left="1080"/>
      </w:pPr>
      <w:r>
        <w:t xml:space="preserve">– </w:t>
      </w:r>
      <w:r>
        <w:rPr>
          <w:b/>
        </w:rPr>
        <w:t>Action pill</w:t>
      </w:r>
      <w:r>
        <w:t xml:space="preserve"> — BUY / WATCH / AVOID / NEUTRAL — the AI's suggested response.</w:t>
      </w:r>
    </w:p>
    <w:p>
      <w:pPr>
        <w:spacing w:after="40"/>
        <w:ind w:left="360"/>
      </w:pPr>
      <w:r>
        <w:t xml:space="preserve">3. </w:t>
      </w:r>
      <w:r>
        <w:rPr>
          <w:b/>
        </w:rPr>
        <w:t>Press / Google News feed</w:t>
      </w:r>
      <w:r>
        <w:t xml:space="preserve"> </w:t>
      </w:r>
      <w:r>
        <w:rPr>
          <w:i/>
        </w:rPr>
        <w:t>(orange header)</w:t>
      </w:r>
    </w:p>
    <w:p>
      <w:pPr>
        <w:spacing w:after="40"/>
        <w:ind w:left="720"/>
      </w:pPr>
      <w:r>
        <w:t xml:space="preserve">– </w:t>
      </w:r>
      <w:r>
        <w:t>Articles from the wider press (FT, Reuters, Bloomberg, broker notes covered in the press, etc.) sourced from Google News.</w:t>
      </w:r>
    </w:p>
    <w:p>
      <w:pPr>
        <w:spacing w:after="40"/>
        <w:ind w:left="720"/>
      </w:pPr>
      <w:r>
        <w:t xml:space="preserve">– </w:t>
      </w:r>
      <w:r>
        <w:t xml:space="preserve">Cached for 24 hours per company; click </w:t>
      </w:r>
      <w:r>
        <w:rPr>
          <w:b/>
        </w:rPr>
        <w:t>↻ Refresh news</w:t>
      </w:r>
      <w:r>
        <w:t xml:space="preserve"> at the top to force a fresh fetch.</w:t>
      </w:r>
    </w:p>
    <w:p>
      <w:r>
        <w:rPr>
          <w:b/>
        </w:rPr>
        <w:t>Why the news tab matters for upside / downside:</w:t>
      </w:r>
    </w:p>
    <w:p>
      <w:pPr>
        <w:spacing w:after="40"/>
        <w:ind w:left="360"/>
      </w:pPr>
      <w:r>
        <w:t xml:space="preserve">• </w:t>
      </w:r>
      <w:r>
        <w:t>Many of the strongest one-week share price moves happen on RNS announcements. Reading the recent RNS history tells you what catalysts have already played out — and helps you anticipate what might come next.</w:t>
      </w:r>
    </w:p>
    <w:p>
      <w:pPr>
        <w:spacing w:after="40"/>
        <w:ind w:left="360"/>
      </w:pPr>
      <w:r>
        <w:t xml:space="preserve">• </w:t>
      </w:r>
      <w:r>
        <w:t>The AI summary is especially useful when you are first researching a name: 60 days of news condensed into a few paragraphs you can read in 30 seconds.</w:t>
      </w:r>
    </w:p>
    <w:p>
      <w:pPr>
        <w:spacing w:after="40"/>
        <w:ind w:left="360"/>
      </w:pPr>
      <w:r>
        <w:t xml:space="preserve">• </w:t>
      </w:r>
      <w:r>
        <w:t>A clean run of positive Tier B announcements with rising analyst forecasts is a powerful "everything is going right" signal.</w:t>
      </w:r>
    </w:p>
    <w:p>
      <w:pPr>
        <w:spacing w:after="40"/>
        <w:ind w:left="360"/>
      </w:pPr>
      <w:r>
        <w:t xml:space="preserve">• </w:t>
      </w:r>
      <w:r>
        <w:t>A series of negative Tier A flags (profit warnings, going concern statements) is one of the clearest early warning signs of permanent capital loss.</w:t>
      </w:r>
    </w:p>
    <w:p>
      <w:pPr>
        <w:pBdr>
          <w:bottom w:val="single" w:sz="6" w:space="1" w:color="CCCCCC"/>
        </w:pBdr>
      </w:pPr>
    </w:p>
    <w:p>
      <w:pPr>
        <w:pStyle w:val="Heading2"/>
      </w:pPr>
      <w:bookmarkStart w:id="32" w:name="mh32"/>
      <w:r>
        <w:t>5. Sector Analysis</w:t>
      </w:r>
      <w:bookmarkEnd w:id="32"/>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Where to find these:</w:t>
            </w:r>
            <w:r>
              <w:t xml:space="preserve"> The </w:t>
            </w:r>
            <w:r>
              <w:rPr>
                <w:b/>
              </w:rPr>
              <w:t>Sector Rotation</w:t>
            </w:r>
            <w:r>
              <w:t xml:space="preserve"> and </w:t>
            </w:r>
            <w:r>
              <w:rPr>
                <w:b/>
              </w:rPr>
              <w:t>Market Breadth</w:t>
            </w:r>
            <w:r>
              <w:t xml:space="preserve"> panels both live on the combined </w:t>
            </w:r>
            <w:r>
              <w:rPr>
                <w:b/>
              </w:rPr>
              <w:t>Markets</w:t>
            </w:r>
            <w:r>
              <w:t xml:space="preserve"> page (top nav → "Markets"), below the Cross-Asset Monitor and Fear &amp; Greed Index. The </w:t>
            </w:r>
            <w:r>
              <w:rPr>
                <w:b/>
              </w:rPr>
              <w:t>Sector Heatmap (Treemap)</w:t>
            </w:r>
            <w:r>
              <w:t xml:space="preserve"> is a separate page opened from the </w:t>
            </w:r>
            <w:r>
              <w:rPr>
                <w:b/>
              </w:rPr>
              <w:t>▦ Heatmap</w:t>
            </w:r>
            <w:r>
              <w:t xml:space="preserve"> link in the sidebar.</w:t>
            </w:r>
          </w:p>
        </w:tc>
      </w:tr>
    </w:tbl>
    <w:p>
      <w:pPr>
        <w:pStyle w:val="Heading3"/>
      </w:pPr>
      <w:bookmarkStart w:id="33" w:name="mh33"/>
      <w:r>
        <w:t>5.1 Sector Rotation</w:t>
      </w:r>
      <w:bookmarkEnd w:id="33"/>
    </w:p>
    <w:p>
      <w:pPr>
        <w:spacing w:before="120" w:after="40"/>
        <w:jc w:val="center"/>
      </w:pPr>
      <w:r>
        <w:drawing>
          <wp:inline xmlns:a="http://schemas.openxmlformats.org/drawingml/2006/main" xmlns:pic="http://schemas.openxmlformats.org/drawingml/2006/picture">
            <wp:extent cx="5486400" cy="2488854"/>
            <wp:docPr id="4" name="Picture 4"/>
            <wp:cNvGraphicFramePr>
              <a:graphicFrameLocks noChangeAspect="1"/>
            </wp:cNvGraphicFramePr>
            <a:graphic>
              <a:graphicData uri="http://schemas.openxmlformats.org/drawingml/2006/picture">
                <pic:pic>
                  <pic:nvPicPr>
                    <pic:cNvPr id="0" name="sector rotation.png"/>
                    <pic:cNvPicPr/>
                  </pic:nvPicPr>
                  <pic:blipFill>
                    <a:blip r:embed="rId12"/>
                    <a:stretch>
                      <a:fillRect/>
                    </a:stretch>
                  </pic:blipFill>
                  <pic:spPr>
                    <a:xfrm>
                      <a:off x="0" y="0"/>
                      <a:ext cx="5486400" cy="2488854"/>
                    </a:xfrm>
                    <a:prstGeom prst="rect"/>
                  </pic:spPr>
                </pic:pic>
              </a:graphicData>
            </a:graphic>
          </wp:inline>
        </w:drawing>
      </w:r>
    </w:p>
    <w:p>
      <w:pPr>
        <w:spacing w:after="240"/>
        <w:jc w:val="center"/>
      </w:pPr>
      <w:r>
        <w:rPr>
          <w:i/>
          <w:color w:val="666666"/>
          <w:sz w:val="18"/>
        </w:rPr>
        <w:t>The Sector Rotation panel — RS-rank heatmap, Signal Log, and the RS ranking table with breadth.</w:t>
      </w:r>
    </w:p>
    <w:p>
      <w:r>
        <w:rPr>
          <w:b/>
        </w:rPr>
        <w:t>What is sector rotation?</w:t>
      </w:r>
    </w:p>
    <w:p>
      <w:r>
        <w:t>Different parts of the economy perform better at different points in the economic cycle:</w:t>
      </w:r>
    </w:p>
    <w:p>
      <w:pPr>
        <w:spacing w:after="40"/>
        <w:ind w:left="360"/>
      </w:pPr>
      <w:r>
        <w:t xml:space="preserve">• </w:t>
      </w:r>
      <w:r>
        <w:t xml:space="preserve">During a </w:t>
      </w:r>
      <w:r>
        <w:rPr>
          <w:b/>
        </w:rPr>
        <w:t>recovery</w:t>
      </w:r>
      <w:r>
        <w:t xml:space="preserve"> (economy picking up after a downturn), cyclicals like Industrials and Consumer Discretionary tend to lead.</w:t>
      </w:r>
    </w:p>
    <w:p>
      <w:pPr>
        <w:spacing w:after="40"/>
        <w:ind w:left="360"/>
      </w:pPr>
      <w:r>
        <w:t xml:space="preserve">• </w:t>
      </w:r>
      <w:r>
        <w:t xml:space="preserve">During an </w:t>
      </w:r>
      <w:r>
        <w:rPr>
          <w:b/>
        </w:rPr>
        <w:t>expansion</w:t>
      </w:r>
      <w:r>
        <w:t xml:space="preserve"> (strong growth), Technology and Materials often outperform.</w:t>
      </w:r>
    </w:p>
    <w:p>
      <w:pPr>
        <w:spacing w:after="40"/>
        <w:ind w:left="360"/>
      </w:pPr>
      <w:r>
        <w:t xml:space="preserve">• </w:t>
      </w:r>
      <w:r>
        <w:t xml:space="preserve">During a </w:t>
      </w:r>
      <w:r>
        <w:rPr>
          <w:b/>
        </w:rPr>
        <w:t>slowdown</w:t>
      </w:r>
      <w:r>
        <w:t>, defensive sectors like Consumer Staples, Health Care, and Utilities typically hold up better.</w:t>
      </w:r>
    </w:p>
    <w:p>
      <w:pPr>
        <w:spacing w:after="40"/>
        <w:ind w:left="360"/>
      </w:pPr>
      <w:r>
        <w:t xml:space="preserve">• </w:t>
      </w:r>
      <w:r>
        <w:t xml:space="preserve">During a </w:t>
      </w:r>
      <w:r>
        <w:rPr>
          <w:b/>
        </w:rPr>
        <w:t>contraction</w:t>
      </w:r>
      <w:r>
        <w:t xml:space="preserve"> (recession), Utilities and Consumer Staples are relative safe havens.</w:t>
      </w:r>
    </w:p>
    <w:p>
      <w:r>
        <w:t>Understanding which phase we are in can help you tilt your portfolio toward sectors likely to outperform.</w:t>
      </w:r>
    </w:p>
    <w:p>
      <w:r>
        <w:rPr>
          <w:b/>
        </w:rPr>
        <w:t>The Relative Strength (RS) Score:</w:t>
      </w:r>
    </w:p>
    <w:p>
      <w:r>
        <w:t>For each sector, the tool calculates a Relative Strength score:</w:t>
      </w:r>
    </w:p>
    <w:p>
      <w:pPr>
        <w:shd w:val="clear" w:color="auto" w:fill="F5F5F5"/>
        <w:ind w:left="288"/>
      </w:pPr>
      <w:r>
        <w:rPr>
          <w:rFonts w:ascii="Consolas" w:hAnsi="Consolas"/>
          <w:sz w:val="19"/>
        </w:rPr>
        <w:t>RS Score = (Sector 63-day return) ÷ (FTSE All-Share 63-day return)</w:t>
      </w:r>
    </w:p>
    <w:p>
      <w:r>
        <w:t xml:space="preserve">An RS Score &gt; 1.05 means the sector has outperformed the broad market by more than 5% over the past 3 months — this is a </w:t>
      </w:r>
      <w:r>
        <w:rPr>
          <w:b/>
        </w:rPr>
        <w:t>BUY signal</w:t>
      </w:r>
      <w:r>
        <w:t xml:space="preserve"> (the sector has leadership and momentum).</w:t>
      </w:r>
    </w:p>
    <w:p>
      <w:r>
        <w:t xml:space="preserve">An RS Score &lt; 0.95 means the sector has underperformed by more than 5% — this is an </w:t>
      </w:r>
      <w:r>
        <w:rPr>
          <w:b/>
        </w:rPr>
        <w:t>AVOID signal</w:t>
      </w:r>
      <w:r>
        <w:t>.</w:t>
      </w:r>
    </w:p>
    <w:p>
      <w:r>
        <w:rPr>
          <w:b/>
        </w:rPr>
        <w:t>Market Breadth</w:t>
      </w:r>
      <w:r>
        <w:t xml:space="preserve"> (% of sector stocks above their 50-day moving average) confirms the signal — a sector showing strong RS with broad participation across its constituent stocks is a more reliable signal than one carried by a single mega-cap name.</w:t>
      </w:r>
    </w:p>
    <w:p>
      <w:r>
        <w:rPr>
          <w:b/>
        </w:rPr>
        <w:t>The Signal Log</w:t>
      </w:r>
      <w:r>
        <w:t xml:space="preserve"> sits alongside the heatmap on the Rotation page — a chronological record of automatically generated signals so you can see what fired and when:</w:t>
      </w:r>
    </w:p>
    <w:p>
      <w:pPr>
        <w:spacing w:after="40"/>
        <w:ind w:left="360"/>
      </w:pPr>
      <w:r>
        <w:t xml:space="preserve">• </w:t>
      </w:r>
      <w:r>
        <w:rPr>
          <w:b/>
        </w:rPr>
        <w:t>BUY</w:t>
      </w:r>
      <w:r>
        <w:t xml:space="preserve"> — A sector's RS score crossed above 1.05 with a rising trend.</w:t>
      </w:r>
    </w:p>
    <w:p>
      <w:pPr>
        <w:spacing w:after="40"/>
        <w:ind w:left="360"/>
      </w:pPr>
      <w:r>
        <w:t xml:space="preserve">• </w:t>
      </w:r>
      <w:r>
        <w:rPr>
          <w:b/>
        </w:rPr>
        <w:t>AVOID</w:t>
      </w:r>
      <w:r>
        <w:t xml:space="preserve"> — A sector's RS score dropped below 0.95 with a falling trend.</w:t>
      </w:r>
    </w:p>
    <w:p>
      <w:pPr>
        <w:spacing w:after="40"/>
        <w:ind w:left="360"/>
      </w:pPr>
      <w:r>
        <w:t xml:space="preserve">• </w:t>
      </w:r>
      <w:r>
        <w:rPr>
          <w:b/>
        </w:rPr>
        <w:t>ALERT</w:t>
      </w:r>
      <w:r>
        <w:t xml:space="preserve"> — A noteworthy change in breadth (the FTSE breadth crossing its bullish/bearish threshold).</w:t>
      </w:r>
    </w:p>
    <w:p>
      <w:pPr>
        <w:spacing w:after="40"/>
        <w:ind w:left="360"/>
      </w:pPr>
      <w:r>
        <w:t xml:space="preserve">• </w:t>
      </w:r>
      <w:r>
        <w:rPr>
          <w:b/>
        </w:rPr>
        <w:t>INFO</w:t>
      </w:r>
      <w:r>
        <w:t xml:space="preserve"> — General market observations.</w:t>
      </w:r>
    </w:p>
    <w:p>
      <w:pPr>
        <w:pBdr>
          <w:bottom w:val="single" w:sz="6" w:space="1" w:color="CCCCCC"/>
        </w:pBdr>
      </w:pPr>
    </w:p>
    <w:p>
      <w:pPr>
        <w:pStyle w:val="Heading3"/>
      </w:pPr>
      <w:bookmarkStart w:id="34" w:name="mh34"/>
      <w:r>
        <w:t>5.2 Market Breadth</w:t>
      </w:r>
      <w:bookmarkEnd w:id="34"/>
    </w:p>
    <w:p>
      <w:pPr>
        <w:spacing w:before="120" w:after="40"/>
        <w:jc w:val="center"/>
      </w:pPr>
      <w:r>
        <w:drawing>
          <wp:inline xmlns:a="http://schemas.openxmlformats.org/drawingml/2006/main" xmlns:pic="http://schemas.openxmlformats.org/drawingml/2006/picture">
            <wp:extent cx="5486400" cy="1758168"/>
            <wp:docPr id="5" name="Picture 5"/>
            <wp:cNvGraphicFramePr>
              <a:graphicFrameLocks noChangeAspect="1"/>
            </wp:cNvGraphicFramePr>
            <a:graphic>
              <a:graphicData uri="http://schemas.openxmlformats.org/drawingml/2006/picture">
                <pic:pic>
                  <pic:nvPicPr>
                    <pic:cNvPr id="0" name="market breadth.png"/>
                    <pic:cNvPicPr/>
                  </pic:nvPicPr>
                  <pic:blipFill>
                    <a:blip r:embed="rId13"/>
                    <a:stretch>
                      <a:fillRect/>
                    </a:stretch>
                  </pic:blipFill>
                  <pic:spPr>
                    <a:xfrm>
                      <a:off x="0" y="0"/>
                      <a:ext cx="5486400" cy="1758168"/>
                    </a:xfrm>
                    <a:prstGeom prst="rect"/>
                  </pic:spPr>
                </pic:pic>
              </a:graphicData>
            </a:graphic>
          </wp:inline>
        </w:drawing>
      </w:r>
    </w:p>
    <w:p>
      <w:pPr>
        <w:spacing w:after="240"/>
        <w:jc w:val="center"/>
      </w:pPr>
      <w:r>
        <w:rPr>
          <w:i/>
          <w:color w:val="666666"/>
          <w:sz w:val="18"/>
        </w:rPr>
        <w:t>The Market Breadth panel — the share of FTSE stocks above their 50-day moving average, with 52-week highs/lows and the advance/decline line.</w:t>
      </w:r>
    </w:p>
    <w:p>
      <w:r>
        <w:t xml:space="preserve">Market breadth measures the </w:t>
      </w:r>
      <w:r>
        <w:rPr>
          <w:b/>
        </w:rPr>
        <w:t>participation</w:t>
      </w:r>
      <w:r>
        <w:t xml:space="preserve"> in a market move — not just whether the index is rising, but how many individual stocks are rising with it.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Breadth Indicator</w:t>
            </w:r>
          </w:p>
        </w:tc>
        <w:tc>
          <w:tcPr>
            <w:tcW w:type="dxa" w:w="4320"/>
            <w:shd w:val="clear" w:color="auto" w:fill="E7ECF3"/>
          </w:tcPr>
          <w:p>
            <w:r>
              <w:rPr>
                <w:b/>
              </w:rPr>
            </w:r>
            <w:r>
              <w:rPr>
                <w:b/>
              </w:rPr>
            </w:r>
            <w:r>
              <w:rPr>
                <w:b/>
              </w:rPr>
              <w:t>What it tells you</w:t>
            </w:r>
          </w:p>
        </w:tc>
      </w:tr>
      <w:tr>
        <w:tc>
          <w:tcPr>
            <w:tcW w:type="dxa" w:w="4320"/>
          </w:tcPr>
          <w:p>
            <w:r/>
            <w:r>
              <w:rPr>
                <w:b/>
              </w:rPr>
              <w:t>% above 50-day MA</w:t>
            </w:r>
          </w:p>
        </w:tc>
        <w:tc>
          <w:tcPr>
            <w:tcW w:type="dxa" w:w="4320"/>
          </w:tcPr>
          <w:p>
            <w:r/>
            <w:r>
              <w:t>The proportion of FTSE stocks trading above their medium-term trend line. Above 70% = broad participation, healthy market. Below 40% = narrow market, caution warranted.</w:t>
            </w:r>
          </w:p>
        </w:tc>
      </w:tr>
      <w:tr>
        <w:tc>
          <w:tcPr>
            <w:tcW w:type="dxa" w:w="4320"/>
          </w:tcPr>
          <w:p>
            <w:r/>
            <w:r>
              <w:rPr>
                <w:b/>
              </w:rPr>
              <w:t>52-Week Highs vs Lows</w:t>
            </w:r>
          </w:p>
        </w:tc>
        <w:tc>
          <w:tcPr>
            <w:tcW w:type="dxa" w:w="4320"/>
          </w:tcPr>
          <w:p>
            <w:r/>
            <w:r>
              <w:t>Far more new highs than lows = strong bull market; more lows = deteriorating market.</w:t>
            </w:r>
          </w:p>
        </w:tc>
      </w:tr>
      <w:tr>
        <w:tc>
          <w:tcPr>
            <w:tcW w:type="dxa" w:w="4320"/>
          </w:tcPr>
          <w:p>
            <w:r/>
            <w:r>
              <w:rPr>
                <w:b/>
              </w:rPr>
              <w:t>Advance/Decline Line</w:t>
            </w:r>
          </w:p>
        </w:tc>
        <w:tc>
          <w:tcPr>
            <w:tcW w:type="dxa" w:w="4320"/>
          </w:tcPr>
          <w:p>
            <w:r/>
            <w:r>
              <w:t>Running total of (stocks rising - stocks falling) each day. A rising A/D line confirms an index uptrend; divergence (index rising but A/D falling) is a warning.</w:t>
            </w:r>
          </w:p>
        </w:tc>
      </w:tr>
    </w:tbl>
    <w:p>
      <w:pPr>
        <w:pBdr>
          <w:bottom w:val="single" w:sz="6" w:space="1" w:color="CCCCCC"/>
        </w:pBdr>
      </w:pPr>
    </w:p>
    <w:p>
      <w:pPr>
        <w:pStyle w:val="Heading3"/>
      </w:pPr>
      <w:bookmarkStart w:id="35" w:name="mh35"/>
      <w:r>
        <w:t>5.3 Sector Heatmap (Treemap)</w:t>
      </w:r>
      <w:bookmarkEnd w:id="35"/>
    </w:p>
    <w:p>
      <w:r>
        <w:t xml:space="preserve">The </w:t>
      </w:r>
      <w:r>
        <w:rPr>
          <w:b/>
        </w:rPr>
        <w:t>Sector Heatmap</w:t>
      </w:r>
      <w:r>
        <w:t xml:space="preserve"> is a single-screen "weather map" of the whole market. Open it from the </w:t>
      </w:r>
      <w:r>
        <w:rPr>
          <w:b/>
        </w:rPr>
        <w:t>▦ Heatmap</w:t>
      </w:r>
      <w:r>
        <w:t xml:space="preserve"> link next to </w:t>
      </w:r>
      <w:r>
        <w:rPr>
          <w:i/>
        </w:rPr>
        <w:t>ICB Sectors</w:t>
      </w:r>
      <w:r>
        <w:t xml:space="preserve"> in the left sidebar.</w:t>
      </w:r>
    </w:p>
    <w:p>
      <w:r>
        <w:rPr>
          <w:b/>
        </w:rPr>
        <w:t>What it shows:</w:t>
      </w:r>
      <w:r>
        <w:t xml:space="preserve"> every active company is drawn as a </w:t>
      </w:r>
      <w:r>
        <w:rPr>
          <w:b/>
        </w:rPr>
        <w:t>tile</w:t>
      </w:r>
      <w:r>
        <w:t xml:space="preserve">, grouped into blocks by sector. The layout is a </w:t>
      </w:r>
      <w:r>
        <w:rPr>
          <w:b/>
        </w:rPr>
        <w:t>treemap</w:t>
      </w:r>
      <w:r>
        <w:t>:</w:t>
      </w:r>
    </w:p>
    <w:p>
      <w:pPr>
        <w:spacing w:after="40"/>
        <w:ind w:left="360"/>
      </w:pPr>
      <w:r>
        <w:t xml:space="preserve">• </w:t>
      </w:r>
      <w:r>
        <w:rPr>
          <w:b/>
        </w:rPr>
        <w:t>Tile size</w:t>
      </w:r>
      <w:r>
        <w:t xml:space="preserve"> = the company's </w:t>
      </w:r>
      <w:r>
        <w:rPr>
          <w:b/>
        </w:rPr>
        <w:t>market capitalisation</w:t>
      </w:r>
      <w:r>
        <w:t xml:space="preserve"> — the biggest companies are the biggest tiles, so your eye is drawn to what actually matters for the index.</w:t>
      </w:r>
    </w:p>
    <w:p>
      <w:pPr>
        <w:spacing w:after="40"/>
        <w:ind w:left="360"/>
      </w:pPr>
      <w:r>
        <w:t xml:space="preserve">• </w:t>
      </w:r>
      <w:r>
        <w:rPr>
          <w:b/>
        </w:rPr>
        <w:t>Tile colour</w:t>
      </w:r>
      <w:r>
        <w:t xml:space="preserve"> = the company's </w:t>
      </w:r>
      <w:r>
        <w:rPr>
          <w:b/>
        </w:rPr>
        <w:t>latest daily % move</w:t>
      </w:r>
      <w:r>
        <w:t xml:space="preserve"> — green for up, grey for flat, red for down, with deeper colour for bigger moves.</w:t>
      </w:r>
    </w:p>
    <w:p>
      <w:r>
        <w:t xml:space="preserve">At a glance you can see whether a sell-off or rally is </w:t>
      </w:r>
      <w:r>
        <w:rPr>
          <w:b/>
        </w:rPr>
        <w:t>broad</w:t>
      </w:r>
      <w:r>
        <w:t xml:space="preserve"> (a whole sector block glowing one colour) or </w:t>
      </w:r>
      <w:r>
        <w:rPr>
          <w:b/>
        </w:rPr>
        <w:t>narrow</w:t>
      </w:r>
      <w:r>
        <w:t xml:space="preserve"> (one big tile moving while the rest are flat), and which sectors are leading or lagging today.</w:t>
      </w:r>
    </w:p>
    <w:p>
      <w:r>
        <w:rPr>
          <w:b/>
        </w:rPr>
        <w:t>Controls:</w:t>
      </w:r>
    </w:p>
    <w:p>
      <w:pPr>
        <w:spacing w:after="40"/>
        <w:ind w:left="360"/>
      </w:pPr>
      <w:r>
        <w:t xml:space="preserve">• </w:t>
      </w:r>
      <w:r>
        <w:rPr>
          <w:b/>
        </w:rPr>
        <w:t>Index selector</w:t>
      </w:r>
      <w:r>
        <w:t xml:space="preserve"> — restrict the map to FTSE 100, FTSE 250, FTSE 350, or the All-Share.</w:t>
      </w:r>
    </w:p>
    <w:p>
      <w:pPr>
        <w:spacing w:after="40"/>
        <w:ind w:left="360"/>
      </w:pPr>
      <w:r>
        <w:t xml:space="preserve">• </w:t>
      </w:r>
      <w:r>
        <w:rPr>
          <w:b/>
        </w:rPr>
        <w:t>Live vs Snapshot toggle</w:t>
      </w:r>
      <w:r>
        <w:t xml:space="preserve"> — </w:t>
      </w:r>
      <w:r>
        <w:rPr>
          <w:i/>
        </w:rPr>
        <w:t>Live</w:t>
      </w:r>
      <w:r>
        <w:t xml:space="preserve"> refreshes the moves roughly every minute during market hours (tracking the current-day price); </w:t>
      </w:r>
      <w:r>
        <w:rPr>
          <w:i/>
        </w:rPr>
        <w:t>Snapshot</w:t>
      </w:r>
      <w:r>
        <w:t xml:space="preserve"> uses the stored end-of-day data and is lighter. A market-open indicator tells you whether live prices are actually moving.</w:t>
      </w:r>
    </w:p>
    <w:p>
      <w:pPr>
        <w:spacing w:after="40"/>
        <w:ind w:left="360"/>
      </w:pPr>
      <w:r>
        <w:t xml:space="preserve">• </w:t>
      </w:r>
      <w:r>
        <w:rPr>
          <w:b/>
        </w:rPr>
        <w:t>Click a tile</w:t>
      </w:r>
      <w:r>
        <w:t xml:space="preserve"> to open that company's detail page.</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How to use it:</w:t>
            </w:r>
            <w:r>
              <w:t xml:space="preserve"> Use the heatmap as a fast daily orientation — </w:t>
            </w:r>
            <w:r>
              <w:rPr>
                <w:i/>
              </w:rPr>
              <w:t>where is the money moving today?</w:t>
            </w:r>
            <w:r>
              <w:t xml:space="preserve"> A green-glowing sector block can point you toward a rotation worth investigating in the Rotation page; a single red mega-cap tile dragging an otherwise-green sector often flags a stock-specific event (check its News tab).</w:t>
            </w:r>
          </w:p>
        </w:tc>
      </w:tr>
    </w:tbl>
    <w:p>
      <w:pPr>
        <w:pBdr>
          <w:bottom w:val="single" w:sz="6" w:space="1" w:color="CCCCCC"/>
        </w:pBdr>
      </w:pPr>
    </w:p>
    <w:p>
      <w:pPr>
        <w:pStyle w:val="Heading2"/>
      </w:pPr>
      <w:bookmarkStart w:id="36" w:name="mh36"/>
      <w:r>
        <w:t>6. Markets</w:t>
      </w:r>
      <w:bookmarkEnd w:id="36"/>
    </w:p>
    <w:p>
      <w:r>
        <w:t xml:space="preserve">The </w:t>
      </w:r>
      <w:r>
        <w:rPr>
          <w:b/>
        </w:rPr>
        <w:t>Markets</w:t>
      </w:r>
      <w:r>
        <w:t xml:space="preserve"> page (top nav → "Markets") is a single scrolling page that stacks four panels, top to bottom: the </w:t>
      </w:r>
      <w:r>
        <w:rPr>
          <w:b/>
        </w:rPr>
        <w:t>Cross-Asset Monitor</w:t>
      </w:r>
      <w:r>
        <w:t xml:space="preserve">, the </w:t>
      </w:r>
      <w:r>
        <w:rPr>
          <w:b/>
        </w:rPr>
        <w:t>Fear &amp; Greed Index</w:t>
      </w:r>
      <w:r>
        <w:t xml:space="preserve"> (with its history charts), </w:t>
      </w:r>
      <w:r>
        <w:rPr>
          <w:b/>
        </w:rPr>
        <w:t>Market Breadth</w:t>
      </w:r>
      <w:r>
        <w:t xml:space="preserve"> (</w:t>
      </w:r>
      <w:r>
        <w:t>§5.2</w:t>
      </w:r>
      <w:r>
        <w:t xml:space="preserve">), and </w:t>
      </w:r>
      <w:r>
        <w:rPr>
          <w:b/>
        </w:rPr>
        <w:t>Sector Rotation</w:t>
      </w:r>
      <w:r>
        <w:t xml:space="preserve"> (</w:t>
      </w:r>
      <w:r>
        <w:t>§5.1</w:t>
      </w:r>
      <w:r>
        <w:t>). The sections below describe the two market-sentiment panels; the two sector panels are covered in Section 5.</w:t>
      </w:r>
    </w:p>
    <w:p>
      <w:pPr>
        <w:pStyle w:val="Heading3"/>
      </w:pPr>
      <w:bookmarkStart w:id="37" w:name="mh37"/>
      <w:r>
        <w:t>6.1 Fear &amp; Greed Index</w:t>
      </w:r>
      <w:bookmarkEnd w:id="37"/>
    </w:p>
    <w:p>
      <w:pPr>
        <w:spacing w:before="120" w:after="40"/>
        <w:jc w:val="center"/>
      </w:pPr>
      <w:r>
        <w:drawing>
          <wp:inline xmlns:a="http://schemas.openxmlformats.org/drawingml/2006/main" xmlns:pic="http://schemas.openxmlformats.org/drawingml/2006/picture">
            <wp:extent cx="5486400" cy="2447955"/>
            <wp:docPr id="6" name="Picture 6"/>
            <wp:cNvGraphicFramePr>
              <a:graphicFrameLocks noChangeAspect="1"/>
            </wp:cNvGraphicFramePr>
            <a:graphic>
              <a:graphicData uri="http://schemas.openxmlformats.org/drawingml/2006/picture">
                <pic:pic>
                  <pic:nvPicPr>
                    <pic:cNvPr id="0" name="fear and greed.png"/>
                    <pic:cNvPicPr/>
                  </pic:nvPicPr>
                  <pic:blipFill>
                    <a:blip r:embed="rId14"/>
                    <a:stretch>
                      <a:fillRect/>
                    </a:stretch>
                  </pic:blipFill>
                  <pic:spPr>
                    <a:xfrm>
                      <a:off x="0" y="0"/>
                      <a:ext cx="5486400" cy="2447955"/>
                    </a:xfrm>
                    <a:prstGeom prst="rect"/>
                  </pic:spPr>
                </pic:pic>
              </a:graphicData>
            </a:graphic>
          </wp:inline>
        </w:drawing>
      </w:r>
    </w:p>
    <w:p>
      <w:pPr>
        <w:spacing w:after="240"/>
        <w:jc w:val="center"/>
      </w:pPr>
      <w:r>
        <w:rPr>
          <w:i/>
          <w:color w:val="666666"/>
          <w:sz w:val="18"/>
        </w:rPr>
        <w:t>The Fear &amp; Greed page — today's UK reading, the UK-vs-US rolling-year history chart, and the standalone US VIX panel.</w:t>
      </w:r>
    </w:p>
    <w:p>
      <w:r>
        <w:rPr>
          <w:b/>
        </w:rPr>
        <w:t>What is it?</w:t>
      </w:r>
    </w:p>
    <w:p>
      <w:r>
        <w:t xml:space="preserve">Inspired by CNN's Fear &amp; Greed Index (which covers US markets), Alpha Move AI's version is purpose-built for the UK market. It combines six independent, price-derived data points into a single score from 0 (Extreme Fear) to 100 (Extreme Greed). The headline </w:t>
      </w:r>
      <w:r>
        <w:rPr>
          <w:b/>
        </w:rPr>
        <w:t>Latest Close</w:t>
      </w:r>
      <w:r>
        <w:t xml:space="preserve"> reading is stamped with the trading session it was built from, and updates live through the day.</w:t>
      </w:r>
    </w:p>
    <w:p>
      <w:r>
        <w:rPr>
          <w:b/>
        </w:rPr>
        <w:t>Why does it matter?</w:t>
      </w:r>
    </w:p>
    <w:p>
      <w:r>
        <w:t xml:space="preserve">Markets are driven by two emotions: fear and greed. When greed dominates (score approaching 100), assets are often overpriced and a correction may be coming. When fear dominates (score near 0), assets are often underpriced and recovery may be near. As Warren Buffett famously said: </w:t>
      </w:r>
      <w:r>
        <w:rPr>
          <w:i/>
        </w:rPr>
        <w:t>"Be fearful when others are greedy, and greedy when others are fearful."</w:t>
      </w:r>
    </w:p>
    <w:p>
      <w:r>
        <w:rPr>
          <w:b/>
        </w:rPr>
        <w:t>The six components (each scored 0–100, equally weighted):</w:t>
      </w:r>
    </w:p>
    <w:p>
      <w:r>
        <w:t xml:space="preserve">Each raw component is </w:t>
      </w:r>
      <w:r>
        <w:rPr>
          <w:b/>
        </w:rPr>
        <w:t>percentile-ranked against its own trailing two-year range</w:t>
      </w:r>
      <w:r>
        <w:t xml:space="preserve"> before being averaged — so a sub-score of 50 means "about typical for the last two years", near 0 means "the most fearful reading of the period", and near 100 "the most greedy". This makes the index self-calibrating and more dynamic than a fixed-threshold version: it always reads the </w:t>
      </w:r>
      <w:r>
        <w:rPr>
          <w:i/>
        </w:rPr>
        <w:t>current</w:t>
      </w:r>
      <w:r>
        <w:t xml:space="preserve"> mood relative to the recent past.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Component</w:t>
            </w:r>
          </w:p>
        </w:tc>
        <w:tc>
          <w:tcPr>
            <w:tcW w:type="dxa" w:w="4320"/>
            <w:shd w:val="clear" w:color="auto" w:fill="E7ECF3"/>
          </w:tcPr>
          <w:p>
            <w:r>
              <w:rPr>
                <w:b/>
              </w:rPr>
            </w:r>
            <w:r>
              <w:rPr>
                <w:b/>
              </w:rPr>
            </w:r>
            <w:r>
              <w:rPr>
                <w:b/>
              </w:rPr>
              <w:t>What it measures</w:t>
            </w:r>
          </w:p>
        </w:tc>
      </w:tr>
      <w:tr>
        <w:tc>
          <w:tcPr>
            <w:tcW w:type="dxa" w:w="4320"/>
          </w:tcPr>
          <w:p>
            <w:r/>
            <w:r>
              <w:rPr>
                <w:b/>
              </w:rPr>
              <w:t>FTSE Momentum</w:t>
            </w:r>
          </w:p>
        </w:tc>
        <w:tc>
          <w:tcPr>
            <w:tcW w:type="dxa" w:w="4320"/>
          </w:tcPr>
          <w:p>
            <w:r/>
            <w:r>
              <w:t>How far the FTSE 100 is trading above/below its 125-day (≈6-month) moving average. A market well above its medium-term trend is "greedy"; well below is "fearful".</w:t>
            </w:r>
          </w:p>
        </w:tc>
      </w:tr>
      <w:tr>
        <w:tc>
          <w:tcPr>
            <w:tcW w:type="dxa" w:w="4320"/>
          </w:tcPr>
          <w:p>
            <w:r/>
            <w:r>
              <w:rPr>
                <w:b/>
              </w:rPr>
              <w:t>Market Breadth</w:t>
            </w:r>
          </w:p>
        </w:tc>
        <w:tc>
          <w:tcPr>
            <w:tcW w:type="dxa" w:w="4320"/>
          </w:tcPr>
          <w:p>
            <w:r/>
            <w:r>
              <w:t>The share of FTSE 100 stocks trading above their own 50-day moving average. Broad participation = greed; a narrow market = fear.</w:t>
            </w:r>
          </w:p>
        </w:tc>
      </w:tr>
      <w:tr>
        <w:tc>
          <w:tcPr>
            <w:tcW w:type="dxa" w:w="4320"/>
          </w:tcPr>
          <w:p>
            <w:r/>
            <w:r>
              <w:rPr>
                <w:b/>
              </w:rPr>
              <w:t>GBP/USD (Currency)</w:t>
            </w:r>
          </w:p>
        </w:tc>
        <w:tc>
          <w:tcPr>
            <w:tcW w:type="dxa" w:w="4320"/>
          </w:tcPr>
          <w:p>
            <w:r/>
            <w:r>
              <w:t xml:space="preserve">The 60-day move in sterling, </w:t>
            </w:r>
            <w:r>
              <w:rPr>
                <w:b/>
              </w:rPr>
              <w:t>inverted</w:t>
            </w:r>
            <w:r>
              <w:t xml:space="preserve">. Around three-quarters of FTSE 100 revenue is earned overseas, so a </w:t>
            </w:r>
            <w:r>
              <w:rPr>
                <w:i/>
              </w:rPr>
              <w:t>weaker</w:t>
            </w:r>
            <w:r>
              <w:t xml:space="preserve"> pound flatters reported profits (greed) while a </w:t>
            </w:r>
            <w:r>
              <w:rPr>
                <w:i/>
              </w:rPr>
              <w:t>stronger</w:t>
            </w:r>
            <w:r>
              <w:t xml:space="preserve"> pound is an earnings headwind (fear). </w:t>
            </w:r>
            <w:r>
              <w:rPr>
                <w:i/>
              </w:rPr>
              <w:t>This component replaced the old VIX input, which now sits in its own standalone panel (see below).</w:t>
            </w:r>
          </w:p>
        </w:tc>
      </w:tr>
      <w:tr>
        <w:tc>
          <w:tcPr>
            <w:tcW w:type="dxa" w:w="4320"/>
          </w:tcPr>
          <w:p>
            <w:r/>
            <w:r>
              <w:rPr>
                <w:b/>
              </w:rPr>
              <w:t>Safe Haven Demand</w:t>
            </w:r>
          </w:p>
        </w:tc>
        <w:tc>
          <w:tcPr>
            <w:tcW w:type="dxa" w:w="4320"/>
          </w:tcPr>
          <w:p>
            <w:r/>
            <w:r>
              <w:t>The 20-day total return of the FTSE 100 versus an all-maturity UK gilt ETF. Stocks outpacing bonds = risk-on (greed); gilts winning = risk-off (fear).</w:t>
            </w:r>
          </w:p>
        </w:tc>
      </w:tr>
      <w:tr>
        <w:tc>
          <w:tcPr>
            <w:tcW w:type="dxa" w:w="4320"/>
          </w:tcPr>
          <w:p>
            <w:r/>
            <w:r>
              <w:rPr>
                <w:b/>
              </w:rPr>
              <w:t>Realised Volatility</w:t>
            </w:r>
          </w:p>
        </w:tc>
        <w:tc>
          <w:tcPr>
            <w:tcW w:type="dxa" w:w="4320"/>
          </w:tcPr>
          <w:p>
            <w:r/>
            <w:r>
              <w:t>The actual (already-happened) annualised 20-day volatility of the FTSE 100, inverted. Calm markets = greed; turbulent markets = fear.</w:t>
            </w:r>
          </w:p>
        </w:tc>
      </w:tr>
      <w:tr>
        <w:tc>
          <w:tcPr>
            <w:tcW w:type="dxa" w:w="4320"/>
          </w:tcPr>
          <w:p>
            <w:r/>
            <w:r>
              <w:rPr>
                <w:b/>
              </w:rPr>
              <w:t>New Highs vs Lows</w:t>
            </w:r>
          </w:p>
        </w:tc>
        <w:tc>
          <w:tcPr>
            <w:tcW w:type="dxa" w:w="4320"/>
          </w:tcPr>
          <w:p>
            <w:r/>
            <w:r>
              <w:t>The net number of FTSE 100 stocks near a fresh 52-week high versus a 52-week low, as a share of the universe. More highs = greed; more lows = fear.</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See exactly how each gauge is built in the app.</w:t>
            </w:r>
            <w:r>
              <w:t xml:space="preserve"> On the Fear &amp; Greed panel, click </w:t>
            </w:r>
            <w:r>
              <w:rPr>
                <w:b/>
              </w:rPr>
              <w:t>▸ Show UK F&amp;G component breakdown</w:t>
            </w:r>
            <w:r>
              <w:t xml:space="preserve"> to expand all six sub-scores, each with a plain-English "How it's calculated" and "What it tells us" explanation.</w:t>
            </w:r>
          </w:p>
        </w:tc>
      </w:tr>
    </w:tbl>
    <w:p>
      <w:r>
        <w:rPr>
          <w:b/>
        </w:rPr>
        <w:t>Sentiment labels: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7ECF3"/>
          </w:tcPr>
          <w:p>
            <w:r>
              <w:rPr>
                <w:b/>
              </w:rPr>
            </w:r>
            <w:r>
              <w:rPr>
                <w:b/>
              </w:rPr>
            </w:r>
            <w:r>
              <w:rPr>
                <w:b/>
              </w:rPr>
              <w:t>Score</w:t>
            </w:r>
          </w:p>
        </w:tc>
        <w:tc>
          <w:tcPr>
            <w:tcW w:type="dxa" w:w="2880"/>
            <w:shd w:val="clear" w:color="auto" w:fill="E7ECF3"/>
          </w:tcPr>
          <w:p>
            <w:r>
              <w:rPr>
                <w:b/>
              </w:rPr>
            </w:r>
            <w:r>
              <w:rPr>
                <w:b/>
              </w:rPr>
            </w:r>
            <w:r>
              <w:rPr>
                <w:b/>
              </w:rPr>
              <w:t>Label</w:t>
            </w:r>
          </w:p>
        </w:tc>
        <w:tc>
          <w:tcPr>
            <w:tcW w:type="dxa" w:w="2880"/>
            <w:shd w:val="clear" w:color="auto" w:fill="E7ECF3"/>
          </w:tcPr>
          <w:p>
            <w:r>
              <w:rPr>
                <w:b/>
              </w:rPr>
            </w:r>
            <w:r>
              <w:rPr>
                <w:b/>
              </w:rPr>
            </w:r>
            <w:r>
              <w:rPr>
                <w:b/>
              </w:rPr>
              <w:t>Implication</w:t>
            </w:r>
          </w:p>
        </w:tc>
      </w:tr>
      <w:tr>
        <w:tc>
          <w:tcPr>
            <w:tcW w:type="dxa" w:w="2880"/>
          </w:tcPr>
          <w:p>
            <w:r/>
            <w:r>
              <w:t>75–100</w:t>
            </w:r>
          </w:p>
        </w:tc>
        <w:tc>
          <w:tcPr>
            <w:tcW w:type="dxa" w:w="2880"/>
          </w:tcPr>
          <w:p>
            <w:r/>
            <w:r>
              <w:t>Extreme Greed</w:t>
            </w:r>
          </w:p>
        </w:tc>
        <w:tc>
          <w:tcPr>
            <w:tcW w:type="dxa" w:w="2880"/>
          </w:tcPr>
          <w:p>
            <w:r/>
            <w:r>
              <w:t>Market may be overheated; consider reducing risk</w:t>
            </w:r>
          </w:p>
        </w:tc>
      </w:tr>
      <w:tr>
        <w:tc>
          <w:tcPr>
            <w:tcW w:type="dxa" w:w="2880"/>
          </w:tcPr>
          <w:p>
            <w:r/>
            <w:r>
              <w:t>55–74</w:t>
            </w:r>
          </w:p>
        </w:tc>
        <w:tc>
          <w:tcPr>
            <w:tcW w:type="dxa" w:w="2880"/>
          </w:tcPr>
          <w:p>
            <w:r/>
            <w:r>
              <w:t>Greed</w:t>
            </w:r>
          </w:p>
        </w:tc>
        <w:tc>
          <w:tcPr>
            <w:tcW w:type="dxa" w:w="2880"/>
          </w:tcPr>
          <w:p>
            <w:r/>
            <w:r>
              <w:t>Positive momentum; maintain positions but stay selective</w:t>
            </w:r>
          </w:p>
        </w:tc>
      </w:tr>
      <w:tr>
        <w:tc>
          <w:tcPr>
            <w:tcW w:type="dxa" w:w="2880"/>
          </w:tcPr>
          <w:p>
            <w:r/>
            <w:r>
              <w:t>45–54</w:t>
            </w:r>
          </w:p>
        </w:tc>
        <w:tc>
          <w:tcPr>
            <w:tcW w:type="dxa" w:w="2880"/>
          </w:tcPr>
          <w:p>
            <w:r/>
            <w:r>
              <w:t>Neutral</w:t>
            </w:r>
          </w:p>
        </w:tc>
        <w:tc>
          <w:tcPr>
            <w:tcW w:type="dxa" w:w="2880"/>
          </w:tcPr>
          <w:p>
            <w:r/>
            <w:r>
              <w:t>No strong signal</w:t>
            </w:r>
          </w:p>
        </w:tc>
      </w:tr>
      <w:tr>
        <w:tc>
          <w:tcPr>
            <w:tcW w:type="dxa" w:w="2880"/>
          </w:tcPr>
          <w:p>
            <w:r/>
            <w:r>
              <w:t>25–44</w:t>
            </w:r>
          </w:p>
        </w:tc>
        <w:tc>
          <w:tcPr>
            <w:tcW w:type="dxa" w:w="2880"/>
          </w:tcPr>
          <w:p>
            <w:r/>
            <w:r>
              <w:t>Fear</w:t>
            </w:r>
          </w:p>
        </w:tc>
        <w:tc>
          <w:tcPr>
            <w:tcW w:type="dxa" w:w="2880"/>
          </w:tcPr>
          <w:p>
            <w:r/>
            <w:r>
              <w:t>Market under stress; look for quality stocks on sale</w:t>
            </w:r>
          </w:p>
        </w:tc>
      </w:tr>
      <w:tr>
        <w:tc>
          <w:tcPr>
            <w:tcW w:type="dxa" w:w="2880"/>
          </w:tcPr>
          <w:p>
            <w:r/>
            <w:r>
              <w:t>0–24</w:t>
            </w:r>
          </w:p>
        </w:tc>
        <w:tc>
          <w:tcPr>
            <w:tcW w:type="dxa" w:w="2880"/>
          </w:tcPr>
          <w:p>
            <w:r/>
            <w:r>
              <w:t>Extreme Fear</w:t>
            </w:r>
          </w:p>
        </w:tc>
        <w:tc>
          <w:tcPr>
            <w:tcW w:type="dxa" w:w="2880"/>
          </w:tcPr>
          <w:p>
            <w:r/>
            <w:r>
              <w:t>Potential buying opportunity for long-term investors</w:t>
            </w:r>
          </w:p>
        </w:tc>
      </w:tr>
    </w:tbl>
    <w:p>
      <w:r>
        <w:rPr>
          <w:b/>
        </w:rPr>
        <w:t>The UK vs US history chart</w:t>
      </w:r>
    </w:p>
    <w:p>
      <w:r>
        <w:t xml:space="preserve">Below the headline reading, a rolling-year line chart plots the </w:t>
      </w:r>
      <w:r>
        <w:rPr>
          <w:b/>
        </w:rPr>
        <w:t>UK</w:t>
      </w:r>
      <w:r>
        <w:t xml:space="preserve"> index (orange) against the </w:t>
      </w:r>
      <w:r>
        <w:rPr>
          <w:b/>
        </w:rPr>
        <w:t>US CNN</w:t>
      </w:r>
      <w:r>
        <w:t xml:space="preserve"> Fear &amp; Greed Index (sky blue), so you can see whether UK sentiment is leading, lagging, or diverging from the larger US market. Two controls help:</w:t>
      </w:r>
    </w:p>
    <w:p>
      <w:pPr>
        <w:spacing w:after="40"/>
        <w:ind w:left="360"/>
      </w:pPr>
      <w:r>
        <w:t xml:space="preserve">• </w:t>
      </w:r>
      <w:r>
        <w:rPr>
          <w:b/>
        </w:rPr>
        <w:t>Raw / %ile toggle</w:t>
      </w:r>
      <w:r>
        <w:t xml:space="preserve"> — </w:t>
      </w:r>
      <w:r>
        <w:rPr>
          <w:i/>
        </w:rPr>
        <w:t>Raw</w:t>
      </w:r>
      <w:r>
        <w:t xml:space="preserve"> shows each index on its native 0–100 scale; </w:t>
      </w:r>
      <w:r>
        <w:rPr>
          <w:i/>
        </w:rPr>
        <w:t>%ile</w:t>
      </w:r>
      <w:r>
        <w:t xml:space="preserve"> re-expresses each point as its percentile within its own trailing-year history. Because the UK index naturally swings less than the US one, the </w:t>
      </w:r>
      <w:r>
        <w:rPr>
          <w:b/>
        </w:rPr>
        <w:t>%ile</w:t>
      </w:r>
      <w:r>
        <w:t xml:space="preserve"> view puts them on a like-for-like footing for comparing </w:t>
      </w:r>
      <w:r>
        <w:rPr>
          <w:i/>
        </w:rPr>
        <w:t>relative</w:t>
      </w:r>
      <w:r>
        <w:t xml:space="preserve"> extremes.</w:t>
      </w:r>
    </w:p>
    <w:p>
      <w:pPr>
        <w:spacing w:after="40"/>
        <w:ind w:left="360"/>
      </w:pPr>
      <w:r>
        <w:t xml:space="preserve">• </w:t>
      </w:r>
      <w:r>
        <w:rPr>
          <w:b/>
        </w:rPr>
        <w:t>Range pills (1M / 3M / 6M / 1Y)</w:t>
      </w:r>
      <w:r>
        <w:t xml:space="preserve"> and </w:t>
      </w:r>
      <w:r>
        <w:rPr>
          <w:b/>
        </w:rPr>
        <w:t>UK / US toggles</w:t>
      </w:r>
      <w:r>
        <w:t xml:space="preserve"> to show or hide either line.</w:t>
      </w:r>
    </w:p>
    <w:p>
      <w:r>
        <w:rPr>
          <w:b/>
        </w:rPr>
        <w:t>The US VIX panel</w:t>
      </w:r>
    </w:p>
    <w:p>
      <w:r>
        <w:t xml:space="preserve">A separate panel plots the </w:t>
      </w:r>
      <w:r>
        <w:rPr>
          <w:b/>
        </w:rPr>
        <w:t>CBOE VIX</w:t>
      </w:r>
      <w:r>
        <w:t xml:space="preserve"> — the original US "fear gauge", measuring the S&amp;P 500's expected 30-day volatility implied by option prices — over a rolling year, with a reference line at 20 (its rough long-run average). Higher = more fear; lower = calm. Equity risk tends to move in lockstep across markets, so the VIX is a useful global risk-appetite cross-check even for a UK investor.</w:t>
      </w:r>
    </w:p>
    <w:p>
      <w:pPr>
        <w:pBdr>
          <w:bottom w:val="single" w:sz="6" w:space="1" w:color="CCCCCC"/>
        </w:pBdr>
      </w:pPr>
    </w:p>
    <w:p>
      <w:pPr>
        <w:pStyle w:val="Heading3"/>
      </w:pPr>
      <w:bookmarkStart w:id="38" w:name="mh38"/>
      <w:r>
        <w:t>6.2 Cross-Asset Monitor</w:t>
      </w:r>
      <w:bookmarkEnd w:id="38"/>
    </w:p>
    <w:p>
      <w:pPr>
        <w:spacing w:before="120" w:after="40"/>
        <w:jc w:val="center"/>
      </w:pPr>
      <w:r>
        <w:drawing>
          <wp:inline xmlns:a="http://schemas.openxmlformats.org/drawingml/2006/main" xmlns:pic="http://schemas.openxmlformats.org/drawingml/2006/picture">
            <wp:extent cx="5486400" cy="1396016"/>
            <wp:docPr id="7" name="Picture 7"/>
            <wp:cNvGraphicFramePr>
              <a:graphicFrameLocks noChangeAspect="1"/>
            </wp:cNvGraphicFramePr>
            <a:graphic>
              <a:graphicData uri="http://schemas.openxmlformats.org/drawingml/2006/picture">
                <pic:pic>
                  <pic:nvPicPr>
                    <pic:cNvPr id="0" name="cross asset.png"/>
                    <pic:cNvPicPr/>
                  </pic:nvPicPr>
                  <pic:blipFill>
                    <a:blip r:embed="rId15"/>
                    <a:stretch>
                      <a:fillRect/>
                    </a:stretch>
                  </pic:blipFill>
                  <pic:spPr>
                    <a:xfrm>
                      <a:off x="0" y="0"/>
                      <a:ext cx="5486400" cy="1396016"/>
                    </a:xfrm>
                    <a:prstGeom prst="rect"/>
                  </pic:spPr>
                </pic:pic>
              </a:graphicData>
            </a:graphic>
          </wp:inline>
        </w:drawing>
      </w:r>
    </w:p>
    <w:p>
      <w:pPr>
        <w:spacing w:after="240"/>
        <w:jc w:val="center"/>
      </w:pPr>
      <w:r>
        <w:rPr>
          <w:i/>
          <w:color w:val="666666"/>
          <w:sz w:val="18"/>
        </w:rPr>
        <w:t>The Cross-Asset Monitor — GBP/USD, Brent crude, gold, the gilt-vs-utilities gauge, and the UK gilt yield curve.</w:t>
      </w:r>
    </w:p>
    <w:p>
      <w:r>
        <w:t>Shows the current state of key assets relative to their recent history (using z-scores — how many standard deviations above/below average):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Asset</w:t>
            </w:r>
          </w:p>
        </w:tc>
        <w:tc>
          <w:tcPr>
            <w:tcW w:type="dxa" w:w="4320"/>
            <w:shd w:val="clear" w:color="auto" w:fill="E7ECF3"/>
          </w:tcPr>
          <w:p>
            <w:r>
              <w:rPr>
                <w:b/>
              </w:rPr>
            </w:r>
            <w:r>
              <w:rPr>
                <w:b/>
              </w:rPr>
            </w:r>
            <w:r>
              <w:rPr>
                <w:b/>
              </w:rPr>
              <w:t>Relevance</w:t>
            </w:r>
          </w:p>
        </w:tc>
      </w:tr>
      <w:tr>
        <w:tc>
          <w:tcPr>
            <w:tcW w:type="dxa" w:w="4320"/>
          </w:tcPr>
          <w:p>
            <w:r/>
            <w:r>
              <w:rPr>
                <w:b/>
              </w:rPr>
              <w:t>GBP/USD</w:t>
            </w:r>
          </w:p>
        </w:tc>
        <w:tc>
          <w:tcPr>
            <w:tcW w:type="dxa" w:w="4320"/>
          </w:tcPr>
          <w:p>
            <w:r/>
            <w:r>
              <w:t>Sterling strength. A rising pound is generally positive for UK importers and consumers but can hurt FTSE 100 exporters (whose overseas earnings are worth less in GBP).</w:t>
            </w:r>
          </w:p>
        </w:tc>
      </w:tr>
      <w:tr>
        <w:tc>
          <w:tcPr>
            <w:tcW w:type="dxa" w:w="4320"/>
          </w:tcPr>
          <w:p>
            <w:r/>
            <w:r>
              <w:rPr>
                <w:b/>
              </w:rPr>
              <w:t>Brent Crude Oil</w:t>
            </w:r>
          </w:p>
        </w:tc>
        <w:tc>
          <w:tcPr>
            <w:tcW w:type="dxa" w:w="4320"/>
          </w:tcPr>
          <w:p>
            <w:r/>
            <w:r>
              <w:t>Affects Energy sector stocks directly; indirectly affects inflation and consumer spending across the economy.</w:t>
            </w:r>
          </w:p>
        </w:tc>
      </w:tr>
      <w:tr>
        <w:tc>
          <w:tcPr>
            <w:tcW w:type="dxa" w:w="4320"/>
          </w:tcPr>
          <w:p>
            <w:r/>
            <w:r>
              <w:rPr>
                <w:b/>
              </w:rPr>
              <w:t>Gold</w:t>
            </w:r>
          </w:p>
        </w:tc>
        <w:tc>
          <w:tcPr>
            <w:tcW w:type="dxa" w:w="4320"/>
          </w:tcPr>
          <w:p>
            <w:r/>
            <w:r>
              <w:t>Often called a "safe haven." Rising gold prices typically indicate global uncertainty or inflation fears.</w:t>
            </w:r>
          </w:p>
        </w:tc>
      </w:tr>
      <w:tr>
        <w:tc>
          <w:tcPr>
            <w:tcW w:type="dxa" w:w="4320"/>
          </w:tcPr>
          <w:p>
            <w:r/>
            <w:r>
              <w:rPr>
                <w:b/>
              </w:rPr>
              <w:t>UK Gilt Yields vs Utilities</w:t>
            </w:r>
          </w:p>
        </w:tc>
        <w:tc>
          <w:tcPr>
            <w:tcW w:type="dxa" w:w="4320"/>
          </w:tcPr>
          <w:p>
            <w:r/>
            <w:r>
              <w:t>When gilt (government bond) yields rise sharply, income-seeking investors can earn more from bonds without taking equity risk. This typically puts downward pressure on high-dividend sectors like Utilities.</w:t>
            </w:r>
          </w:p>
        </w:tc>
      </w:tr>
    </w:tbl>
    <w:p>
      <w:pPr>
        <w:pBdr>
          <w:bottom w:val="single" w:sz="6" w:space="1" w:color="CCCCCC"/>
        </w:pBdr>
      </w:pPr>
    </w:p>
    <w:p>
      <w:pPr>
        <w:pStyle w:val="Heading3"/>
      </w:pPr>
      <w:bookmarkStart w:id="39" w:name="mh39"/>
      <w:r>
        <w:t>6.3 Gilt Yields</w:t>
      </w:r>
      <w:bookmarkEnd w:id="39"/>
    </w:p>
    <w:p>
      <w:r>
        <w:t xml:space="preserve">UK government bonds (gilts) are loans to the UK government. The </w:t>
      </w:r>
      <w:r>
        <w:rPr>
          <w:b/>
        </w:rPr>
        <w:t>yield</w:t>
      </w:r>
      <w:r>
        <w:t xml:space="preserve"> is the effective interest rate the government pays. Gilt yields are the foundation of all UK asset pricing:</w:t>
      </w:r>
    </w:p>
    <w:p>
      <w:pPr>
        <w:spacing w:after="40"/>
        <w:ind w:left="360"/>
      </w:pPr>
      <w:r>
        <w:t xml:space="preserve">• </w:t>
      </w:r>
      <w:r>
        <w:t>A rising yield curve (long-term rates well above short-term) generally signals economic optimism.</w:t>
      </w:r>
    </w:p>
    <w:p>
      <w:pPr>
        <w:spacing w:after="40"/>
        <w:ind w:left="360"/>
      </w:pPr>
      <w:r>
        <w:t xml:space="preserve">• </w:t>
      </w:r>
      <w:r>
        <w:t xml:space="preserve">An </w:t>
      </w:r>
      <w:r>
        <w:rPr>
          <w:b/>
        </w:rPr>
        <w:t>inverted yield curve</w:t>
      </w:r>
      <w:r>
        <w:t xml:space="preserve"> (short-term rates above long-term) is historically a reliable recession warning signal.</w:t>
      </w:r>
    </w:p>
    <w:p>
      <w:pPr>
        <w:spacing w:after="40"/>
        <w:ind w:left="360"/>
      </w:pPr>
      <w:r>
        <w:t xml:space="preserve">• </w:t>
      </w:r>
      <w:r>
        <w:t>Rising gilt yields increase the "risk-free rate" — the return investors can get without any risk — which mechanically reduces the attractiveness of equities (particularly growth stocks).</w:t>
      </w:r>
    </w:p>
    <w:p>
      <w:r>
        <w:t>The tool shows:</w:t>
      </w:r>
    </w:p>
    <w:p>
      <w:pPr>
        <w:spacing w:after="40"/>
        <w:ind w:left="360"/>
      </w:pPr>
      <w:r>
        <w:t xml:space="preserve">• </w:t>
      </w:r>
      <w:r>
        <w:rPr>
          <w:b/>
        </w:rPr>
        <w:t>Snapshot</w:t>
      </w:r>
      <w:r>
        <w:t xml:space="preserve"> — Current yields across 2Y, 5Y, 10Y, 20Y, and 30Y maturities (the yield curve shape).</w:t>
      </w:r>
    </w:p>
    <w:p>
      <w:pPr>
        <w:spacing w:after="40"/>
        <w:ind w:left="360"/>
      </w:pPr>
      <w:r>
        <w:t xml:space="preserve">• </w:t>
      </w:r>
      <w:r>
        <w:rPr>
          <w:b/>
        </w:rPr>
        <w:t>Historical</w:t>
      </w:r>
      <w:r>
        <w:t xml:space="preserve"> — How yields have changed over time.</w:t>
      </w:r>
    </w:p>
    <w:p>
      <w:pPr>
        <w:pBdr>
          <w:bottom w:val="single" w:sz="6" w:space="1" w:color="CCCCCC"/>
        </w:pBdr>
      </w:pPr>
    </w:p>
    <w:p>
      <w:pPr>
        <w:pStyle w:val="Heading2"/>
      </w:pPr>
      <w:bookmarkStart w:id="40" w:name="mh40"/>
      <w:r>
        <w:t>7. Analyst Monitor</w:t>
      </w:r>
      <w:bookmarkEnd w:id="40"/>
    </w:p>
    <w:p>
      <w:pPr>
        <w:spacing w:before="120" w:after="40"/>
        <w:jc w:val="center"/>
      </w:pPr>
      <w:r>
        <w:drawing>
          <wp:inline xmlns:a="http://schemas.openxmlformats.org/drawingml/2006/main" xmlns:pic="http://schemas.openxmlformats.org/drawingml/2006/picture">
            <wp:extent cx="5486400" cy="2609979"/>
            <wp:docPr id="8" name="Picture 8"/>
            <wp:cNvGraphicFramePr>
              <a:graphicFrameLocks noChangeAspect="1"/>
            </wp:cNvGraphicFramePr>
            <a:graphic>
              <a:graphicData uri="http://schemas.openxmlformats.org/drawingml/2006/picture">
                <pic:pic>
                  <pic:nvPicPr>
                    <pic:cNvPr id="0" name="Analysts.png"/>
                    <pic:cNvPicPr/>
                  </pic:nvPicPr>
                  <pic:blipFill>
                    <a:blip r:embed="rId16"/>
                    <a:stretch>
                      <a:fillRect/>
                    </a:stretch>
                  </pic:blipFill>
                  <pic:spPr>
                    <a:xfrm>
                      <a:off x="0" y="0"/>
                      <a:ext cx="5486400" cy="2609979"/>
                    </a:xfrm>
                    <a:prstGeom prst="rect"/>
                  </pic:spPr>
                </pic:pic>
              </a:graphicData>
            </a:graphic>
          </wp:inline>
        </w:drawing>
      </w:r>
    </w:p>
    <w:p>
      <w:pPr>
        <w:spacing w:after="240"/>
        <w:jc w:val="center"/>
      </w:pPr>
      <w:r>
        <w:rPr>
          <w:i/>
          <w:color w:val="666666"/>
          <w:sz w:val="18"/>
        </w:rPr>
        <w:t>The Analyst Monitor — the latest-consensus table, the 30-day Biggest Movers leaderboard, and the Top Bullish / Top Bearish shortlists.</w:t>
      </w:r>
    </w:p>
    <w:p>
      <w:r>
        <w:t>The Analyst Monitor page provides a dedicated view of professional analyst sentiment across all covered stocks.</w:t>
      </w:r>
    </w:p>
    <w:p>
      <w:r>
        <w:rPr>
          <w:b/>
        </w:rPr>
        <w:t>Latest Consensus table:</w:t>
      </w:r>
      <w:r>
        <w:t xml:space="preserve"> All stocks with analyst coverage, sortable by consensus rating, </w:t>
      </w:r>
      <w:r>
        <w:rPr>
          <w:b/>
        </w:rPr>
        <w:t>coverage-adjusted Buy% (see below)</w:t>
      </w:r>
      <w:r>
        <w:t xml:space="preserve">, upside %, or revision score. The Buy% column shows the </w:t>
      </w:r>
      <w:r>
        <w:rPr>
          <w:i/>
        </w:rPr>
        <w:t>adjusted</w:t>
      </w:r>
      <w:r>
        <w:t xml:space="preserve"> figure; hover any cell to see the raw value and the number of analysts behind it.</w:t>
      </w:r>
    </w:p>
    <w:p>
      <w:r>
        <w:rPr>
          <w:b/>
        </w:rPr>
        <w:t>Biggest Movers (30-day leaderboard):</w:t>
      </w:r>
      <w:r>
        <w:t xml:space="preserve"> Replacing the old "change feed", this board ranks the stocks whose analyst view has shifted most over the past 30 days — separating the </w:t>
      </w:r>
      <w:r>
        <w:rPr>
          <w:b/>
        </w:rPr>
        <w:t>upgraded</w:t>
      </w:r>
      <w:r>
        <w:t xml:space="preserve"> (rating and/or price target rising) from the </w:t>
      </w:r>
      <w:r>
        <w:rPr>
          <w:b/>
        </w:rPr>
        <w:t>downgraded</w:t>
      </w:r>
      <w:r>
        <w:t>. Because a change in professional view often precedes a price move, this is usually the most actionable part of the page. A mover's score combines two "points-like" legs: the change in coverage-adjusted Buy% (rating) and the percentage change in mean price target (valuation); tiny wobbles below a small threshold are ignored so only genuine moves appear.</w:t>
      </w:r>
    </w:p>
    <w:p>
      <w:r>
        <w:rPr>
          <w:b/>
        </w:rPr>
        <w:t>Composite (bullish) Score</w:t>
      </w:r>
      <w:r>
        <w:t xml:space="preserve"> — used to rank Top Bullish / Top Bearish — combines:</w:t>
      </w:r>
    </w:p>
    <w:p>
      <w:pPr>
        <w:spacing w:after="40"/>
        <w:ind w:left="360"/>
      </w:pPr>
      <w:r>
        <w:t xml:space="preserve">• </w:t>
      </w:r>
      <w:r>
        <w:t>Coverage-adjusted Buy% (full weight)</w:t>
      </w:r>
    </w:p>
    <w:p>
      <w:pPr>
        <w:spacing w:after="40"/>
        <w:ind w:left="360"/>
      </w:pPr>
      <w:r>
        <w:t xml:space="preserve">• </w:t>
      </w:r>
      <w:r>
        <w:t>Expected upside, halved (and clamped to the −50%…+100% range so one wild target can't dominate)</w:t>
      </w:r>
    </w:p>
    <w:p>
      <w:pPr>
        <w:spacing w:after="40"/>
        <w:ind w:left="360"/>
      </w:pPr>
      <w:r>
        <w:t xml:space="preserve">• </w:t>
      </w:r>
      <w:r>
        <w:t>Revision score × 10 (forward-looking earnings-revision momentum, given extra weight)</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Why the Buy% looks lower than you might expect — coverage shrinkage:</w:t>
            </w:r>
            <w:r>
              <w:t xml:space="preserve"> When only one or two analysts cover a stock, a "100% bullish" rating is usually noise rather than signal. The app therefore applies </w:t>
            </w:r>
            <w:r>
              <w:rPr>
                <w:b/>
              </w:rPr>
              <w:t>shrinkage</w:t>
            </w:r>
            <w:r>
              <w:t xml:space="preserve"> — it pulls thinly-covered stocks back toward a neutral 50% baseline, with a prior weight of </w:t>
            </w:r>
            <w:r>
              <w:rPr>
                <w:rFonts w:ascii="Consolas" w:hAnsi="Consolas"/>
                <w:color w:val="B11A4B"/>
              </w:rPr>
              <w:t>k = 5</w:t>
            </w:r>
            <w:r>
              <w:t xml:space="preserve"> analysts. A single analyst at 100% Buy is reported as ~58%, while a 20-analyst stock at 80% Buy barely moves. This deliberately rewards stocks where many independent analysts agree.</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Under the hood — coverage-adjusted Buy% and composite</w:t>
            </w:r>
          </w:p>
          <w:p>
            <w:pPr>
              <w:spacing w:after="40"/>
              <w:ind w:left="360"/>
            </w:pPr>
            <w:r>
              <w:t xml:space="preserve">• </w:t>
            </w:r>
            <w:r>
              <w:rPr>
                <w:b/>
              </w:rPr>
              <w:t>Shrunk Buy%:</w:t>
            </w:r>
            <w:r>
              <w:t xml:space="preserve"> </w:t>
            </w:r>
            <w:r>
              <w:rPr>
                <w:rFonts w:ascii="Consolas" w:hAnsi="Consolas"/>
                <w:color w:val="B11A4B"/>
              </w:rPr>
              <w:t>adjusted = (raw_buy% × n + 50 × k) ÷ (n + k)</w:t>
            </w:r>
            <w:r>
              <w:t xml:space="preserve">, with </w:t>
            </w:r>
            <w:r>
              <w:rPr>
                <w:rFonts w:ascii="Consolas" w:hAnsi="Consolas"/>
                <w:color w:val="B11A4B"/>
              </w:rPr>
              <w:t>k = 5</w:t>
            </w:r>
            <w:r>
              <w:t xml:space="preserve"> and </w:t>
            </w:r>
            <w:r>
              <w:rPr>
                <w:rFonts w:ascii="Consolas" w:hAnsi="Consolas"/>
                <w:color w:val="B11A4B"/>
              </w:rPr>
              <w:t>n</w:t>
            </w:r>
            <w:r>
              <w:t xml:space="preserve"> = number of analysts. (A stock with no analysts defaults to 50.)</w:t>
            </w:r>
          </w:p>
          <w:p>
            <w:pPr>
              <w:spacing w:after="40"/>
              <w:ind w:left="720"/>
            </w:pPr>
            <w:r>
              <w:t xml:space="preserve">– </w:t>
            </w:r>
            <w:r>
              <w:rPr>
                <w:i/>
              </w:rPr>
              <w:t>Worked example:</w:t>
            </w:r>
            <w:r>
              <w:t xml:space="preserve"> 1 analyst at 100% → </w:t>
            </w:r>
            <w:r>
              <w:rPr>
                <w:rFonts w:ascii="Consolas" w:hAnsi="Consolas"/>
                <w:color w:val="B11A4B"/>
              </w:rPr>
              <w:t>(100×1 + 50×5) ÷ (1+5) = 350 ÷ 6 ≈ 58.3%</w:t>
            </w:r>
            <w:r>
              <w:t>.</w:t>
            </w:r>
          </w:p>
          <w:p>
            <w:pPr>
              <w:spacing w:after="40"/>
              <w:ind w:left="360"/>
            </w:pPr>
            <w:r>
              <w:t xml:space="preserve">• </w:t>
            </w:r>
            <w:r>
              <w:rPr>
                <w:b/>
              </w:rPr>
              <w:t>Composite score:</w:t>
            </w:r>
            <w:r>
              <w:t xml:space="preserve"> </w:t>
            </w:r>
            <w:r>
              <w:rPr>
                <w:rFonts w:ascii="Consolas" w:hAnsi="Consolas"/>
                <w:color w:val="B11A4B"/>
              </w:rPr>
              <w:t>adjustedBuy% + clamp(upside%, −50, 100) × 0.5 + revision_score × 10</w:t>
            </w:r>
            <w:r>
              <w:t>.</w:t>
            </w:r>
          </w:p>
          <w:p>
            <w:pPr>
              <w:spacing w:after="40"/>
              <w:ind w:left="360"/>
            </w:pPr>
            <w:r>
              <w:t xml:space="preserve">• </w:t>
            </w:r>
            <w:r>
              <w:rPr>
                <w:b/>
              </w:rPr>
              <w:t>Mover score (30-day):</w:t>
            </w:r>
            <w:r>
              <w:t xml:space="preserve"> </w:t>
            </w:r>
            <w:r>
              <w:rPr>
                <w:rFonts w:ascii="Consolas" w:hAnsi="Consolas"/>
                <w:color w:val="B11A4B"/>
              </w:rPr>
              <w:t>Δ(adjustedBuy%) + Δ(mean price target %)</w:t>
            </w:r>
            <w:r>
              <w:t>, shown only when it clears a small minimum so trivial changes are hidden.</w:t>
            </w:r>
          </w:p>
          <w:p>
            <w:pPr>
              <w:spacing w:after="40"/>
              <w:ind w:left="360"/>
            </w:pPr>
            <w:r>
              <w:t xml:space="preserve">• </w:t>
            </w:r>
            <w:r>
              <w:rPr>
                <w:b/>
              </w:rPr>
              <w:t>Revision score</w:t>
            </w:r>
            <w:r>
              <w:t xml:space="preserve"> itself = (upward EPS revisions − downward revisions) over the last 30 days.</w:t>
            </w:r>
          </w:p>
        </w:tc>
      </w:tr>
    </w:tbl>
    <w:p>
      <w:r>
        <w:rPr>
          <w:b/>
        </w:rPr>
        <w:t>Top Bullish / Top Bearish:</w:t>
      </w:r>
      <w:r>
        <w:t xml:space="preserve"> The five stocks with the strongest positive and negative composite scores — your instant shortlist of where professional money is most positive and most negative.</w:t>
      </w:r>
    </w:p>
    <w:p>
      <w:pPr>
        <w:pBdr>
          <w:bottom w:val="single" w:sz="6" w:space="1" w:color="CCCCCC"/>
        </w:pBdr>
      </w:pPr>
    </w:p>
    <w:p>
      <w:pPr>
        <w:pStyle w:val="Heading2"/>
      </w:pPr>
      <w:bookmarkStart w:id="41" w:name="mh41"/>
      <w:r>
        <w:t>8. RNS News Screener</w:t>
      </w:r>
      <w:bookmarkEnd w:id="41"/>
    </w:p>
    <w:p>
      <w:r>
        <w:t xml:space="preserve">The </w:t>
      </w:r>
      <w:r>
        <w:rPr>
          <w:b/>
        </w:rPr>
        <w:t>RNS News Screener</w:t>
      </w:r>
      <w:r>
        <w:t xml:space="preserve"> (top nav → "RNS News") is one of the most powerful tools in the app for catching catalysts early.</w:t>
      </w:r>
    </w:p>
    <w:p>
      <w:pPr>
        <w:spacing w:before="120" w:after="40"/>
        <w:jc w:val="center"/>
      </w:pPr>
      <w:r>
        <w:drawing>
          <wp:inline xmlns:a="http://schemas.openxmlformats.org/drawingml/2006/main" xmlns:pic="http://schemas.openxmlformats.org/drawingml/2006/picture">
            <wp:extent cx="5486400" cy="2621693"/>
            <wp:docPr id="9" name="Picture 9"/>
            <wp:cNvGraphicFramePr>
              <a:graphicFrameLocks noChangeAspect="1"/>
            </wp:cNvGraphicFramePr>
            <a:graphic>
              <a:graphicData uri="http://schemas.openxmlformats.org/drawingml/2006/picture">
                <pic:pic>
                  <pic:nvPicPr>
                    <pic:cNvPr id="0" name="rns news.png"/>
                    <pic:cNvPicPr/>
                  </pic:nvPicPr>
                  <pic:blipFill>
                    <a:blip r:embed="rId17"/>
                    <a:stretch>
                      <a:fillRect/>
                    </a:stretch>
                  </pic:blipFill>
                  <pic:spPr>
                    <a:xfrm>
                      <a:off x="0" y="0"/>
                      <a:ext cx="5486400" cy="2621693"/>
                    </a:xfrm>
                    <a:prstGeom prst="rect"/>
                  </pic:spPr>
                </pic:pic>
              </a:graphicData>
            </a:graphic>
          </wp:inline>
        </w:drawing>
      </w:r>
    </w:p>
    <w:p>
      <w:pPr>
        <w:spacing w:after="240"/>
        <w:jc w:val="center"/>
      </w:pPr>
      <w:r>
        <w:rPr>
          <w:i/>
          <w:color w:val="666666"/>
          <w:sz w:val="18"/>
        </w:rPr>
        <w:t>The RNS News Screener — AI-ranked regulatory announcements with tier badges, AI thesis, scores, and BUY/WATCH/AVOID action pills.</w:t>
      </w:r>
    </w:p>
    <w:p>
      <w:pPr>
        <w:pStyle w:val="Heading3"/>
      </w:pPr>
      <w:bookmarkStart w:id="42" w:name="mh42"/>
      <w:r>
        <w:t>8.1 What is RNS?</w:t>
      </w:r>
      <w:bookmarkEnd w:id="42"/>
    </w:p>
    <w:p>
      <w:r>
        <w:rPr>
          <w:b/>
        </w:rPr>
        <w:t>RNS</w:t>
      </w:r>
      <w:r>
        <w:t xml:space="preserve"> stands for </w:t>
      </w:r>
      <w:r>
        <w:rPr>
          <w:b/>
        </w:rPr>
        <w:t>Regulatory News Service</w:t>
      </w:r>
      <w:r>
        <w:t xml:space="preserve"> — the official Stock Exchange channel that all listed UK companies must use to release </w:t>
      </w:r>
      <w:r>
        <w:rPr>
          <w:b/>
        </w:rPr>
        <w:t>price-sensitive information</w:t>
      </w:r>
      <w:r>
        <w:t>. Examples include:</w:t>
      </w:r>
    </w:p>
    <w:p>
      <w:pPr>
        <w:spacing w:after="40"/>
        <w:ind w:left="360"/>
      </w:pPr>
      <w:r>
        <w:t xml:space="preserve">• </w:t>
      </w:r>
      <w:r>
        <w:t>Results announcements (full-year, half-year, quarterly trading updates)</w:t>
      </w:r>
    </w:p>
    <w:p>
      <w:pPr>
        <w:spacing w:after="40"/>
        <w:ind w:left="360"/>
      </w:pPr>
      <w:r>
        <w:t xml:space="preserve">• </w:t>
      </w:r>
      <w:r>
        <w:t>Profit warnings and earnings guidance</w:t>
      </w:r>
    </w:p>
    <w:p>
      <w:pPr>
        <w:spacing w:after="40"/>
        <w:ind w:left="360"/>
      </w:pPr>
      <w:r>
        <w:t xml:space="preserve">• </w:t>
      </w:r>
      <w:r>
        <w:t>Mergers, acquisitions, and offer announcements</w:t>
      </w:r>
    </w:p>
    <w:p>
      <w:pPr>
        <w:spacing w:after="40"/>
        <w:ind w:left="360"/>
      </w:pPr>
      <w:r>
        <w:t xml:space="preserve">• </w:t>
      </w:r>
      <w:r>
        <w:t>Major contract wins, drug approvals, drilling results</w:t>
      </w:r>
    </w:p>
    <w:p>
      <w:pPr>
        <w:spacing w:after="40"/>
        <w:ind w:left="360"/>
      </w:pPr>
      <w:r>
        <w:t xml:space="preserve">• </w:t>
      </w:r>
      <w:r>
        <w:t>Director share dealings, share issues, AGM results</w:t>
      </w:r>
    </w:p>
    <w:p>
      <w:r>
        <w:t xml:space="preserve">When a company files an RNS, the market reacts quickly — often within seconds for large items. </w:t>
      </w:r>
      <w:r>
        <w:rPr>
          <w:b/>
        </w:rPr>
        <w:t>Reading and reacting to RNS news is one of the most direct sources of edge for retail investors</w:t>
      </w:r>
      <w:r>
        <w:t>, because the same announcement reaches you at exactly the same moment as everyone else.</w:t>
      </w:r>
    </w:p>
    <w:p>
      <w:r>
        <w:t>The challenge is that there are hundreds of RNS releases every trading day, most of which are administrative (changes in share count, voting rights, etc.). The RNS News Screener solves this with an AI pipeline that filters and ranks announcements automatically.</w:t>
      </w:r>
    </w:p>
    <w:p>
      <w:pPr>
        <w:pStyle w:val="Heading3"/>
      </w:pPr>
      <w:bookmarkStart w:id="43" w:name="mh43"/>
      <w:r>
        <w:t>8.2 The Two-Layer Pipeline</w:t>
      </w:r>
      <w:bookmarkEnd w:id="43"/>
    </w:p>
    <w:p>
      <w:r>
        <w:t xml:space="preserve">When you press </w:t>
      </w:r>
      <w:r>
        <w:rPr>
          <w:b/>
        </w:rPr>
        <w:t>↻ Refresh + AI rank</w:t>
      </w:r>
      <w:r>
        <w:t>, the app runs three stages in sequence (you can watch the live stage indicator on the button):</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Stage</w:t>
            </w:r>
          </w:p>
        </w:tc>
        <w:tc>
          <w:tcPr>
            <w:tcW w:type="dxa" w:w="4320"/>
            <w:shd w:val="clear" w:color="auto" w:fill="E7ECF3"/>
          </w:tcPr>
          <w:p>
            <w:r>
              <w:rPr>
                <w:b/>
              </w:rPr>
            </w:r>
            <w:r>
              <w:rPr>
                <w:b/>
              </w:rPr>
            </w:r>
            <w:r>
              <w:rPr>
                <w:b/>
              </w:rPr>
              <w:t>What it does</w:t>
            </w:r>
          </w:p>
        </w:tc>
      </w:tr>
      <w:tr>
        <w:tc>
          <w:tcPr>
            <w:tcW w:type="dxa" w:w="4320"/>
          </w:tcPr>
          <w:p>
            <w:r/>
            <w:r>
              <w:rPr>
                <w:b/>
              </w:rPr>
              <w:t>Ingest</w:t>
            </w:r>
          </w:p>
        </w:tc>
        <w:tc>
          <w:tcPr>
            <w:tcW w:type="dxa" w:w="4320"/>
          </w:tcPr>
          <w:p>
            <w:r/>
            <w:r>
              <w:t>Pulls every new RNS announcement from Investegate (the standard data source for UK regulatory news).</w:t>
            </w:r>
          </w:p>
        </w:tc>
      </w:tr>
      <w:tr>
        <w:tc>
          <w:tcPr>
            <w:tcW w:type="dxa" w:w="4320"/>
          </w:tcPr>
          <w:p>
            <w:r/>
            <w:r>
              <w:rPr>
                <w:b/>
              </w:rPr>
              <w:t>Summaries</w:t>
            </w:r>
          </w:p>
        </w:tc>
        <w:tc>
          <w:tcPr>
            <w:tcW w:type="dxa" w:w="4320"/>
          </w:tcPr>
          <w:p>
            <w:r/>
            <w:r>
              <w:t>Fetches the AI-generated summary for each announcement from Investegate.</w:t>
            </w:r>
          </w:p>
        </w:tc>
      </w:tr>
      <w:tr>
        <w:tc>
          <w:tcPr>
            <w:tcW w:type="dxa" w:w="4320"/>
          </w:tcPr>
          <w:p>
            <w:r/>
            <w:r>
              <w:rPr>
                <w:b/>
              </w:rPr>
              <w:t>Rank</w:t>
            </w:r>
          </w:p>
        </w:tc>
        <w:tc>
          <w:tcPr>
            <w:tcW w:type="dxa" w:w="4320"/>
          </w:tcPr>
          <w:p>
            <w:r/>
            <w:r>
              <w:t xml:space="preserve">Sends each Tier A and Tier B item to </w:t>
            </w:r>
            <w:r>
              <w:rPr>
                <w:b/>
              </w:rPr>
              <w:t>DeepSeek</w:t>
            </w:r>
            <w:r>
              <w:t xml:space="preserve"> (an AI model) for ranking, scoring, and a "what to do about it" recommendation.</w:t>
            </w:r>
          </w:p>
        </w:tc>
      </w:tr>
    </w:tbl>
    <w:p>
      <w:r>
        <w:t>The pipeline takes 1–3 minutes per refresh. It also runs automatically in the background several times per UK trading day (every 15 minutes during the morning RNS window), so the feed is usually fresh.</w:t>
      </w:r>
    </w:p>
    <w:p>
      <w:pPr>
        <w:pStyle w:val="Heading4"/>
      </w:pPr>
      <w:bookmarkStart w:id="44" w:name="mh44"/>
      <w:r>
        <w:t>The Tier system</w:t>
      </w:r>
      <w:bookmarkEnd w:id="44"/>
    </w:p>
    <w:p>
      <w:r>
        <w:t xml:space="preserve">A simple keyword-based </w:t>
      </w:r>
      <w:r>
        <w:rPr>
          <w:b/>
        </w:rPr>
        <w:t>rules classifier</w:t>
      </w:r>
      <w:r>
        <w:t xml:space="preserve"> does a first-pass coarse sort: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7ECF3"/>
          </w:tcPr>
          <w:p>
            <w:r>
              <w:rPr>
                <w:b/>
              </w:rPr>
            </w:r>
            <w:r>
              <w:rPr>
                <w:b/>
              </w:rPr>
            </w:r>
            <w:r>
              <w:rPr>
                <w:b/>
              </w:rPr>
              <w:t>Tier</w:t>
            </w:r>
          </w:p>
        </w:tc>
        <w:tc>
          <w:tcPr>
            <w:tcW w:type="dxa" w:w="2880"/>
            <w:shd w:val="clear" w:color="auto" w:fill="E7ECF3"/>
          </w:tcPr>
          <w:p>
            <w:r>
              <w:rPr>
                <w:b/>
              </w:rPr>
            </w:r>
            <w:r>
              <w:rPr>
                <w:b/>
              </w:rPr>
            </w:r>
            <w:r>
              <w:rPr>
                <w:b/>
              </w:rPr>
              <w:t>Label</w:t>
            </w:r>
          </w:p>
        </w:tc>
        <w:tc>
          <w:tcPr>
            <w:tcW w:type="dxa" w:w="2880"/>
            <w:shd w:val="clear" w:color="auto" w:fill="E7ECF3"/>
          </w:tcPr>
          <w:p>
            <w:r>
              <w:rPr>
                <w:b/>
              </w:rPr>
            </w:r>
            <w:r>
              <w:rPr>
                <w:b/>
              </w:rPr>
            </w:r>
            <w:r>
              <w:rPr>
                <w:b/>
              </w:rPr>
              <w:t>Examples</w:t>
            </w:r>
          </w:p>
        </w:tc>
      </w:tr>
      <w:tr>
        <w:tc>
          <w:tcPr>
            <w:tcW w:type="dxa" w:w="2880"/>
          </w:tcPr>
          <w:p>
            <w:r/>
            <w:r>
              <w:rPr>
                <w:b/>
              </w:rPr>
              <w:t>A</w:t>
            </w:r>
          </w:p>
        </w:tc>
        <w:tc>
          <w:tcPr>
            <w:tcW w:type="dxa" w:w="2880"/>
          </w:tcPr>
          <w:p>
            <w:r/>
            <w:r>
              <w:rPr>
                <w:b/>
              </w:rPr>
              <w:t>Significant</w:t>
            </w:r>
          </w:p>
        </w:tc>
        <w:tc>
          <w:tcPr>
            <w:tcW w:type="dxa" w:w="2880"/>
          </w:tcPr>
          <w:p>
            <w:r/>
            <w:r>
              <w:t>Profit warnings, full-year results, firm offers (Rule 2.7), strategic reviews, drug approvals, major contract wins</w:t>
            </w:r>
          </w:p>
        </w:tc>
      </w:tr>
      <w:tr>
        <w:tc>
          <w:tcPr>
            <w:tcW w:type="dxa" w:w="2880"/>
          </w:tcPr>
          <w:p>
            <w:r/>
            <w:r>
              <w:rPr>
                <w:b/>
              </w:rPr>
              <w:t>B</w:t>
            </w:r>
          </w:p>
        </w:tc>
        <w:tc>
          <w:tcPr>
            <w:tcW w:type="dxa" w:w="2880"/>
          </w:tcPr>
          <w:p>
            <w:r/>
            <w:r>
              <w:rPr>
                <w:b/>
              </w:rPr>
              <w:t>Noteworthy</w:t>
            </w:r>
          </w:p>
        </w:tc>
        <w:tc>
          <w:tcPr>
            <w:tcW w:type="dxa" w:w="2880"/>
          </w:tcPr>
          <w:p>
            <w:r/>
            <w:r>
              <w:t>Trading updates, possible offers (Rule 2.4), capital raises, drill results, board changes, dividend changes</w:t>
            </w:r>
          </w:p>
        </w:tc>
      </w:tr>
      <w:tr>
        <w:tc>
          <w:tcPr>
            <w:tcW w:type="dxa" w:w="2880"/>
          </w:tcPr>
          <w:p>
            <w:r/>
            <w:r>
              <w:rPr>
                <w:b/>
              </w:rPr>
              <w:t>C</w:t>
            </w:r>
          </w:p>
        </w:tc>
        <w:tc>
          <w:tcPr>
            <w:tcW w:type="dxa" w:w="2880"/>
          </w:tcPr>
          <w:p>
            <w:r/>
            <w:r>
              <w:rPr>
                <w:b/>
              </w:rPr>
              <w:t>Routine</w:t>
            </w:r>
          </w:p>
        </w:tc>
        <w:tc>
          <w:tcPr>
            <w:tcW w:type="dxa" w:w="2880"/>
          </w:tcPr>
          <w:p>
            <w:r/>
            <w:r>
              <w:t>Total voting rights, holdings notifications, PDMR transactions, AGM admin</w:t>
            </w:r>
          </w:p>
        </w:tc>
      </w:tr>
    </w:tbl>
    <w:p>
      <w:r>
        <w:t>Tier A and Tier B items are then sent to the AI for ranking. Tier C items are kept in the database but not ranked (you can still see them by setting Min Score = 0 and Tier filter = C).</w:t>
      </w:r>
    </w:p>
    <w:p>
      <w:pPr>
        <w:pStyle w:val="Heading3"/>
      </w:pPr>
      <w:bookmarkStart w:id="45" w:name="mh45"/>
      <w:r>
        <w:t>8.3 Reading the Feed</w:t>
      </w:r>
      <w:bookmarkEnd w:id="45"/>
    </w:p>
    <w:p>
      <w:r>
        <w:rPr>
          <w:b/>
        </w:rPr>
        <w:t>The summary cards at the top:</w:t>
      </w:r>
    </w:p>
    <w:p>
      <w:pPr>
        <w:spacing w:after="40"/>
        <w:ind w:left="360"/>
      </w:pPr>
      <w:r>
        <w:t xml:space="preserve">• </w:t>
      </w:r>
      <w:r>
        <w:rPr>
          <w:b/>
        </w:rPr>
        <w:t>Tier A — Significant</w:t>
      </w:r>
      <w:r>
        <w:t xml:space="preserve"> </w:t>
      </w:r>
      <w:r>
        <w:rPr>
          <w:i/>
        </w:rPr>
        <w:t>(orange)</w:t>
      </w:r>
      <w:r>
        <w:t xml:space="preserve"> — count of high-significance items in the current window</w:t>
      </w:r>
    </w:p>
    <w:p>
      <w:pPr>
        <w:spacing w:after="40"/>
        <w:ind w:left="360"/>
      </w:pPr>
      <w:r>
        <w:t xml:space="preserve">• </w:t>
      </w:r>
      <w:r>
        <w:rPr>
          <w:b/>
        </w:rPr>
        <w:t>Tier B — Noteworthy</w:t>
      </w:r>
      <w:r>
        <w:t xml:space="preserve"> </w:t>
      </w:r>
      <w:r>
        <w:rPr>
          <w:i/>
        </w:rPr>
        <w:t>(blue)</w:t>
      </w:r>
      <w:r>
        <w:t xml:space="preserve"> — count of medium-significance items</w:t>
      </w:r>
    </w:p>
    <w:p>
      <w:pPr>
        <w:spacing w:after="40"/>
        <w:ind w:left="360"/>
      </w:pPr>
      <w:r>
        <w:t xml:space="preserve">• </w:t>
      </w:r>
      <w:r>
        <w:rPr>
          <w:b/>
        </w:rPr>
        <w:t>AI-Ranked</w:t>
      </w:r>
      <w:r>
        <w:t xml:space="preserve"> </w:t>
      </w:r>
      <w:r>
        <w:rPr>
          <w:i/>
        </w:rPr>
        <w:t>(green)</w:t>
      </w:r>
      <w:r>
        <w:t xml:space="preserve"> — how many items the AI has scored</w:t>
      </w:r>
    </w:p>
    <w:p>
      <w:pPr>
        <w:spacing w:after="40"/>
        <w:ind w:left="360"/>
      </w:pPr>
      <w:r>
        <w:t xml:space="preserve">• </w:t>
      </w:r>
      <w:r>
        <w:rPr>
          <w:b/>
        </w:rPr>
        <w:t>Total in feed</w:t>
      </w:r>
      <w:r>
        <w:t xml:space="preserve"> — total items currently in your filtered view</w:t>
      </w:r>
    </w:p>
    <w:p>
      <w:r>
        <w:rPr>
          <w:b/>
        </w:rPr>
        <w:t>The controls bar:</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Control</w:t>
            </w:r>
          </w:p>
        </w:tc>
        <w:tc>
          <w:tcPr>
            <w:tcW w:type="dxa" w:w="4320"/>
            <w:shd w:val="clear" w:color="auto" w:fill="E7ECF3"/>
          </w:tcPr>
          <w:p>
            <w:r>
              <w:rPr>
                <w:b/>
              </w:rPr>
            </w:r>
            <w:r>
              <w:rPr>
                <w:b/>
              </w:rPr>
            </w:r>
            <w:r>
              <w:rPr>
                <w:b/>
              </w:rPr>
              <w:t>What it does</w:t>
            </w:r>
          </w:p>
        </w:tc>
      </w:tr>
      <w:tr>
        <w:tc>
          <w:tcPr>
            <w:tcW w:type="dxa" w:w="4320"/>
          </w:tcPr>
          <w:p>
            <w:r/>
            <w:r>
              <w:rPr>
                <w:b/>
              </w:rPr>
              <w:t>Window</w:t>
            </w:r>
          </w:p>
        </w:tc>
        <w:tc>
          <w:tcPr>
            <w:tcW w:type="dxa" w:w="4320"/>
          </w:tcPr>
          <w:p>
            <w:r/>
            <w:r>
              <w:t>Look back 6 hours up to 1 week</w:t>
            </w:r>
          </w:p>
        </w:tc>
      </w:tr>
      <w:tr>
        <w:tc>
          <w:tcPr>
            <w:tcW w:type="dxa" w:w="4320"/>
          </w:tcPr>
          <w:p>
            <w:r/>
            <w:r>
              <w:rPr>
                <w:b/>
              </w:rPr>
              <w:t>Min score</w:t>
            </w:r>
          </w:p>
        </w:tc>
        <w:tc>
          <w:tcPr>
            <w:tcW w:type="dxa" w:w="4320"/>
          </w:tcPr>
          <w:p>
            <w:r/>
            <w:r>
              <w:t xml:space="preserve">Hide items with a Rules score below this threshold (e.g. </w:t>
            </w:r>
            <w:r>
              <w:rPr>
                <w:i/>
              </w:rPr>
              <w:t>60 (Tier A+)</w:t>
            </w:r>
            <w:r>
              <w:t xml:space="preserve"> hides everything below significant)</w:t>
            </w:r>
          </w:p>
        </w:tc>
      </w:tr>
      <w:tr>
        <w:tc>
          <w:tcPr>
            <w:tcW w:type="dxa" w:w="4320"/>
          </w:tcPr>
          <w:p>
            <w:r/>
            <w:r>
              <w:rPr>
                <w:b/>
              </w:rPr>
              <w:t>Tier pills</w:t>
            </w:r>
          </w:p>
        </w:tc>
        <w:tc>
          <w:tcPr>
            <w:tcW w:type="dxa" w:w="4320"/>
          </w:tcPr>
          <w:p>
            <w:r/>
            <w:r>
              <w:t>Filter by Tier A, Tier B, Tier C, or All</w:t>
            </w:r>
          </w:p>
        </w:tc>
      </w:tr>
      <w:tr>
        <w:tc>
          <w:tcPr>
            <w:tcW w:type="dxa" w:w="4320"/>
          </w:tcPr>
          <w:p>
            <w:r/>
            <w:r>
              <w:rPr>
                <w:b/>
              </w:rPr>
              <w:t>Sort: AI score / Time</w:t>
            </w:r>
          </w:p>
        </w:tc>
        <w:tc>
          <w:tcPr>
            <w:tcW w:type="dxa" w:w="4320"/>
          </w:tcPr>
          <w:p>
            <w:r/>
            <w:r>
              <w:t>Either rank by the AI's score (best first) or chronological (newest first)</w:t>
            </w:r>
          </w:p>
        </w:tc>
      </w:tr>
      <w:tr>
        <w:tc>
          <w:tcPr>
            <w:tcW w:type="dxa" w:w="4320"/>
          </w:tcPr>
          <w:p>
            <w:r/>
            <w:r>
              <w:rPr>
                <w:b/>
              </w:rPr>
              <w:t>Search box</w:t>
            </w:r>
          </w:p>
        </w:tc>
        <w:tc>
          <w:tcPr>
            <w:tcW w:type="dxa" w:w="4320"/>
          </w:tcPr>
          <w:p>
            <w:r/>
            <w:r>
              <w:t>Free-text filter by ticker, company name, or headline keyword</w:t>
            </w:r>
          </w:p>
        </w:tc>
      </w:tr>
    </w:tbl>
    <w:p>
      <w:r>
        <w:rPr>
          <w:b/>
        </w:rPr>
        <w:t>Each row shows:</w:t>
      </w:r>
    </w:p>
    <w:p>
      <w:pPr>
        <w:spacing w:after="40"/>
        <w:ind w:left="360"/>
      </w:pPr>
      <w:r>
        <w:t xml:space="preserve">• </w:t>
      </w:r>
      <w:r>
        <w:rPr>
          <w:b/>
        </w:rPr>
        <w:t>Time</w:t>
      </w:r>
      <w:r>
        <w:t xml:space="preserve"> — when the announcement was filed (e.g. "08:23" today, "23 Apr 14:47" earlier)</w:t>
      </w:r>
    </w:p>
    <w:p>
      <w:pPr>
        <w:spacing w:after="40"/>
        <w:ind w:left="360"/>
      </w:pPr>
      <w:r>
        <w:t xml:space="preserve">• </w:t>
      </w:r>
      <w:r>
        <w:rPr>
          <w:b/>
        </w:rPr>
        <w:t>Tier badge</w:t>
      </w:r>
      <w:r>
        <w:t xml:space="preserve"> — A / B / C</w:t>
      </w:r>
    </w:p>
    <w:p>
      <w:pPr>
        <w:spacing w:after="40"/>
        <w:ind w:left="360"/>
      </w:pPr>
      <w:r>
        <w:t xml:space="preserve">• </w:t>
      </w:r>
      <w:r>
        <w:rPr>
          <w:b/>
        </w:rPr>
        <w:t>Ticker / Company</w:t>
      </w:r>
      <w:r>
        <w:t xml:space="preserve"> — click the ticker to open the company detail page</w:t>
      </w:r>
    </w:p>
    <w:p>
      <w:pPr>
        <w:spacing w:after="40"/>
        <w:ind w:left="360"/>
      </w:pPr>
      <w:r>
        <w:t xml:space="preserve">• </w:t>
      </w:r>
      <w:r>
        <w:rPr>
          <w:b/>
        </w:rPr>
        <w:t>Headline</w:t>
      </w:r>
      <w:r>
        <w:t xml:space="preserve"> — click to open the full announcement on Investegate</w:t>
      </w:r>
    </w:p>
    <w:p>
      <w:pPr>
        <w:spacing w:after="40"/>
        <w:ind w:left="360"/>
      </w:pPr>
      <w:r>
        <w:t xml:space="preserve">• </w:t>
      </w:r>
      <w:r>
        <w:rPr>
          <w:b/>
        </w:rPr>
        <w:t>AI thesis</w:t>
      </w:r>
      <w:r>
        <w:t xml:space="preserve"> — a one-sentence interpretation of </w:t>
      </w:r>
      <w:r>
        <w:rPr>
          <w:i/>
        </w:rPr>
        <w:t>why</w:t>
      </w:r>
      <w:r>
        <w:t xml:space="preserve"> the announcement matters</w:t>
      </w:r>
    </w:p>
    <w:p>
      <w:pPr>
        <w:spacing w:after="40"/>
        <w:ind w:left="360"/>
      </w:pPr>
      <w:r>
        <w:t xml:space="preserve">• </w:t>
      </w:r>
      <w:r>
        <w:rPr>
          <w:b/>
        </w:rPr>
        <w:t>AI risks</w:t>
      </w:r>
      <w:r>
        <w:t xml:space="preserve"> — what could go wrong with the bullish reading</w:t>
      </w:r>
    </w:p>
    <w:p>
      <w:pPr>
        <w:spacing w:after="40"/>
        <w:ind w:left="360"/>
      </w:pPr>
      <w:r>
        <w:t xml:space="preserve">• </w:t>
      </w:r>
      <w:r>
        <w:rPr>
          <w:b/>
        </w:rPr>
        <w:t>Category</w:t>
      </w:r>
      <w:r>
        <w:t xml:space="preserve"> — the rules-classifier category (Profit Warning, Trading Update, etc.)</w:t>
      </w:r>
    </w:p>
    <w:p>
      <w:pPr>
        <w:spacing w:after="40"/>
        <w:ind w:left="360"/>
      </w:pPr>
      <w:r>
        <w:t xml:space="preserve">• </w:t>
      </w:r>
      <w:r>
        <w:rPr>
          <w:b/>
        </w:rPr>
        <w:t>Rules score</w:t>
      </w:r>
      <w:r>
        <w:t xml:space="preserve"> — 0–100, the rules-classifier importance</w:t>
      </w:r>
    </w:p>
    <w:p>
      <w:pPr>
        <w:spacing w:after="40"/>
        <w:ind w:left="360"/>
      </w:pPr>
      <w:r>
        <w:t xml:space="preserve">• </w:t>
      </w:r>
      <w:r>
        <w:rPr>
          <w:b/>
        </w:rPr>
        <w:t>AI score</w:t>
      </w:r>
      <w:r>
        <w:t xml:space="preserve"> — 0–100, the DeepSeek score (typically a more refined version of the rules score, factoring in valuation, analyst views, and recent price action)</w:t>
      </w:r>
    </w:p>
    <w:p>
      <w:pPr>
        <w:spacing w:after="40"/>
        <w:ind w:left="360"/>
      </w:pPr>
      <w:r>
        <w:t xml:space="preserve">• </w:t>
      </w:r>
      <w:r>
        <w:rPr>
          <w:b/>
        </w:rPr>
        <w:t>Action pill</w:t>
      </w:r>
      <w:r>
        <w:t xml:space="preserve"> — BUY / WATCH / AVOID / NEUTRAL — see Section 8.4</w:t>
      </w:r>
    </w:p>
    <w:p>
      <w:pPr>
        <w:pStyle w:val="Heading3"/>
      </w:pPr>
      <w:bookmarkStart w:id="46" w:name="mh46"/>
      <w:r>
        <w:t>8.4 Action Pills</w:t>
      </w:r>
      <w:bookmarkEnd w:id="46"/>
    </w:p>
    <w:p>
      <w:r>
        <w:t xml:space="preserve">The AI assigns each ranked announcement an </w:t>
      </w:r>
      <w:r>
        <w:rPr>
          <w:b/>
        </w:rPr>
        <w:t>action</w:t>
      </w:r>
      <w:r>
        <w:t>, which is the simplest way to scan the feed quickly:</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7ECF3"/>
          </w:tcPr>
          <w:p>
            <w:r>
              <w:rPr>
                <w:b/>
              </w:rPr>
            </w:r>
            <w:r>
              <w:rPr>
                <w:b/>
              </w:rPr>
            </w:r>
            <w:r>
              <w:rPr>
                <w:b/>
              </w:rPr>
              <w:t>Action</w:t>
            </w:r>
          </w:p>
        </w:tc>
        <w:tc>
          <w:tcPr>
            <w:tcW w:type="dxa" w:w="2880"/>
            <w:shd w:val="clear" w:color="auto" w:fill="E7ECF3"/>
          </w:tcPr>
          <w:p>
            <w:r>
              <w:rPr>
                <w:b/>
              </w:rPr>
            </w:r>
            <w:r>
              <w:rPr>
                <w:b/>
              </w:rPr>
            </w:r>
            <w:r>
              <w:rPr>
                <w:b/>
              </w:rPr>
              <w:t>Colour</w:t>
            </w:r>
          </w:p>
        </w:tc>
        <w:tc>
          <w:tcPr>
            <w:tcW w:type="dxa" w:w="2880"/>
            <w:shd w:val="clear" w:color="auto" w:fill="E7ECF3"/>
          </w:tcPr>
          <w:p>
            <w:r>
              <w:rPr>
                <w:b/>
              </w:rPr>
            </w:r>
            <w:r>
              <w:rPr>
                <w:b/>
              </w:rPr>
            </w:r>
            <w:r>
              <w:rPr>
                <w:b/>
              </w:rPr>
              <w:t>What it suggests</w:t>
            </w:r>
          </w:p>
        </w:tc>
      </w:tr>
      <w:tr>
        <w:tc>
          <w:tcPr>
            <w:tcW w:type="dxa" w:w="2880"/>
          </w:tcPr>
          <w:p>
            <w:r/>
            <w:r>
              <w:rPr>
                <w:b/>
              </w:rPr>
              <w:t>BUY</w:t>
            </w:r>
          </w:p>
        </w:tc>
        <w:tc>
          <w:tcPr>
            <w:tcW w:type="dxa" w:w="2880"/>
          </w:tcPr>
          <w:p>
            <w:r/>
            <w:r>
              <w:t>Green</w:t>
            </w:r>
          </w:p>
        </w:tc>
        <w:tc>
          <w:tcPr>
            <w:tcW w:type="dxa" w:w="2880"/>
          </w:tcPr>
          <w:p>
            <w:r/>
            <w:r>
              <w:t>A clear bullish catalyst with limited downside risk in the AI's reading. Worth investigating today.</w:t>
            </w:r>
          </w:p>
        </w:tc>
      </w:tr>
      <w:tr>
        <w:tc>
          <w:tcPr>
            <w:tcW w:type="dxa" w:w="2880"/>
          </w:tcPr>
          <w:p>
            <w:r/>
            <w:r>
              <w:rPr>
                <w:b/>
              </w:rPr>
              <w:t>WATCH</w:t>
            </w:r>
          </w:p>
        </w:tc>
        <w:tc>
          <w:tcPr>
            <w:tcW w:type="dxa" w:w="2880"/>
          </w:tcPr>
          <w:p>
            <w:r/>
            <w:r>
              <w:t>Amber</w:t>
            </w:r>
          </w:p>
        </w:tc>
        <w:tc>
          <w:tcPr>
            <w:tcW w:type="dxa" w:w="2880"/>
          </w:tcPr>
          <w:p>
            <w:r/>
            <w:r>
              <w:t>A mixed or interesting signal — not a clear buy yet, but put it on the watchlist and track follow-up news.</w:t>
            </w:r>
          </w:p>
        </w:tc>
      </w:tr>
      <w:tr>
        <w:tc>
          <w:tcPr>
            <w:tcW w:type="dxa" w:w="2880"/>
          </w:tcPr>
          <w:p>
            <w:r/>
            <w:r>
              <w:rPr>
                <w:b/>
              </w:rPr>
              <w:t>AVOID</w:t>
            </w:r>
          </w:p>
        </w:tc>
        <w:tc>
          <w:tcPr>
            <w:tcW w:type="dxa" w:w="2880"/>
          </w:tcPr>
          <w:p>
            <w:r/>
            <w:r>
              <w:t>Red</w:t>
            </w:r>
          </w:p>
        </w:tc>
        <w:tc>
          <w:tcPr>
            <w:tcW w:type="dxa" w:w="2880"/>
          </w:tcPr>
          <w:p>
            <w:r/>
            <w:r>
              <w:t>A clear negative — profit warning, going concern, etc. The AI sees more downside than upside.</w:t>
            </w:r>
          </w:p>
        </w:tc>
      </w:tr>
      <w:tr>
        <w:tc>
          <w:tcPr>
            <w:tcW w:type="dxa" w:w="2880"/>
          </w:tcPr>
          <w:p>
            <w:r/>
            <w:r>
              <w:rPr>
                <w:b/>
              </w:rPr>
              <w:t>NEUTRAL</w:t>
            </w:r>
          </w:p>
        </w:tc>
        <w:tc>
          <w:tcPr>
            <w:tcW w:type="dxa" w:w="2880"/>
          </w:tcPr>
          <w:p>
            <w:r/>
            <w:r>
              <w:t>Grey</w:t>
            </w:r>
          </w:p>
        </w:tc>
        <w:tc>
          <w:tcPr>
            <w:tcW w:type="dxa" w:w="2880"/>
          </w:tcPr>
          <w:p>
            <w:r/>
            <w:r>
              <w:t>Material announcement but no clear directional signal.</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Important:</w:t>
            </w:r>
            <w:r>
              <w:t xml:space="preserve"> The action is the AI's suggestion based on the announcement plus the company's valuation, analyst consensus, and recent price context. It is not a buy/sell recommendation — always cross-check by opening the company detail page and reading the full RNS yourself before acting.</w:t>
            </w:r>
          </w:p>
        </w:tc>
      </w:tr>
    </w:tbl>
    <w:p>
      <w:pPr>
        <w:pStyle w:val="Heading4"/>
      </w:pPr>
      <w:bookmarkStart w:id="47" w:name="mh47"/>
      <w:r>
        <w:t>How to use the RNS feed for upside hunting</w:t>
      </w:r>
      <w:bookmarkEnd w:id="47"/>
    </w:p>
    <w:p>
      <w:r>
        <w:t>The clearest opportunities tend to come from:</w:t>
      </w:r>
    </w:p>
    <w:p>
      <w:pPr>
        <w:spacing w:after="40"/>
        <w:ind w:left="360"/>
      </w:pPr>
      <w:r>
        <w:t xml:space="preserve">1. </w:t>
      </w:r>
      <w:r>
        <w:rPr>
          <w:b/>
        </w:rPr>
        <w:t>Tier A "BUY" items where the company also has a high Quality Score and reasonable PEGY</w:t>
      </w:r>
      <w:r>
        <w:t xml:space="preserve"> — quality + catalyst + fair price = highest-conviction setup.</w:t>
      </w:r>
    </w:p>
    <w:p>
      <w:pPr>
        <w:spacing w:after="40"/>
        <w:ind w:left="360"/>
      </w:pPr>
      <w:r>
        <w:t xml:space="preserve">2. </w:t>
      </w:r>
      <w:r>
        <w:rPr>
          <w:b/>
        </w:rPr>
        <w:t>Multiple Tier B "WATCH" items in the same week on the same company</w:t>
      </w:r>
      <w:r>
        <w:t xml:space="preserve"> — when several positive operational updates accumulate, the market often hasn't fully priced in the cumulative effect yet.</w:t>
      </w:r>
    </w:p>
    <w:p>
      <w:pPr>
        <w:spacing w:after="40"/>
        <w:ind w:left="360"/>
      </w:pPr>
      <w:r>
        <w:t xml:space="preserve">3. </w:t>
      </w:r>
      <w:r>
        <w:rPr>
          <w:b/>
        </w:rPr>
        <w:t>Recommended offer (Rule 2.7) announcements</w:t>
      </w:r>
      <w:r>
        <w:t xml:space="preserve"> — these instantly mark the share price near the offered price, but sometimes there is a small "merger arbitrage" gap if you trust the deal will close.</w:t>
      </w:r>
    </w:p>
    <w:p>
      <w:pPr>
        <w:pStyle w:val="Heading4"/>
      </w:pPr>
      <w:bookmarkStart w:id="48" w:name="mh48"/>
      <w:r>
        <w:t>How to use it for downside protection</w:t>
      </w:r>
      <w:bookmarkEnd w:id="48"/>
    </w:p>
    <w:p>
      <w:pPr>
        <w:spacing w:after="40"/>
        <w:ind w:left="360"/>
      </w:pPr>
      <w:r>
        <w:t xml:space="preserve">• </w:t>
      </w:r>
      <w:r>
        <w:rPr>
          <w:b/>
        </w:rPr>
        <w:t>Profit warnings</w:t>
      </w:r>
      <w:r>
        <w:t xml:space="preserve"> are listed as Tier A AVOID. If you hold the stock and see one, your downside is real and immediate — read the announcement immediately.</w:t>
      </w:r>
    </w:p>
    <w:p>
      <w:pPr>
        <w:spacing w:after="40"/>
        <w:ind w:left="360"/>
      </w:pPr>
      <w:r>
        <w:t xml:space="preserve">• </w:t>
      </w:r>
      <w:r>
        <w:rPr>
          <w:b/>
        </w:rPr>
        <w:t>Going concern statements</w:t>
      </w:r>
      <w:r>
        <w:t xml:space="preserve">, </w:t>
      </w:r>
      <w:r>
        <w:rPr>
          <w:b/>
        </w:rPr>
        <w:t>suspensions</w:t>
      </w:r>
      <w:r>
        <w:t xml:space="preserve">, and </w:t>
      </w:r>
      <w:r>
        <w:rPr>
          <w:b/>
        </w:rPr>
        <w:t>delistings</w:t>
      </w:r>
      <w:r>
        <w:t xml:space="preserve"> are tagged in the Category column — these are some of the worst things that can happen to a stock you own.</w:t>
      </w:r>
    </w:p>
    <w:p>
      <w:pPr>
        <w:spacing w:after="40"/>
        <w:ind w:left="360"/>
      </w:pPr>
      <w:r>
        <w:t xml:space="preserve">• </w:t>
      </w:r>
      <w:r>
        <w:rPr>
          <w:b/>
        </w:rPr>
        <w:t>Strategic Reviews</w:t>
      </w:r>
      <w:r>
        <w:t xml:space="preserve"> can go either way — sometimes leading to break-up value (upside), sometimes to forced asset sales (downside). Read the AI thesis carefully.</w:t>
      </w:r>
    </w:p>
    <w:p>
      <w:pPr>
        <w:pBdr>
          <w:bottom w:val="single" w:sz="6" w:space="1" w:color="CCCCCC"/>
        </w:pBdr>
      </w:pPr>
    </w:p>
    <w:p>
      <w:pPr>
        <w:pStyle w:val="Heading2"/>
      </w:pPr>
      <w:bookmarkStart w:id="49" w:name="mh49"/>
      <w:r>
        <w:t>9. Trending — Risers and Fallers</w:t>
      </w:r>
      <w:bookmarkEnd w:id="49"/>
    </w:p>
    <w:p>
      <w:r>
        <w:t xml:space="preserve">The </w:t>
      </w:r>
      <w:r>
        <w:rPr>
          <w:b/>
        </w:rPr>
        <w:t>Trending</w:t>
      </w:r>
      <w:r>
        <w:t xml:space="preserve"> page (top nav → "Trending") surfaces the stocks that are currently on a </w:t>
      </w:r>
      <w:r>
        <w:rPr>
          <w:b/>
        </w:rPr>
        <w:t>run</w:t>
      </w:r>
      <w:r>
        <w:t xml:space="preserve"> — a streak of consecutive up or down days — so you can spot momentum building or a sell-off accelerating across the whole universe at a glance.</w:t>
      </w:r>
    </w:p>
    <w:p>
      <w:pPr>
        <w:spacing w:before="120" w:after="40"/>
        <w:jc w:val="center"/>
      </w:pPr>
      <w:r>
        <w:drawing>
          <wp:inline xmlns:a="http://schemas.openxmlformats.org/drawingml/2006/main" xmlns:pic="http://schemas.openxmlformats.org/drawingml/2006/picture">
            <wp:extent cx="5486400" cy="2645434"/>
            <wp:docPr id="10" name="Picture 10"/>
            <wp:cNvGraphicFramePr>
              <a:graphicFrameLocks noChangeAspect="1"/>
            </wp:cNvGraphicFramePr>
            <a:graphic>
              <a:graphicData uri="http://schemas.openxmlformats.org/drawingml/2006/picture">
                <pic:pic>
                  <pic:nvPicPr>
                    <pic:cNvPr id="0" name="Trending.png"/>
                    <pic:cNvPicPr/>
                  </pic:nvPicPr>
                  <pic:blipFill>
                    <a:blip r:embed="rId18"/>
                    <a:stretch>
                      <a:fillRect/>
                    </a:stretch>
                  </pic:blipFill>
                  <pic:spPr>
                    <a:xfrm>
                      <a:off x="0" y="0"/>
                      <a:ext cx="5486400" cy="2645434"/>
                    </a:xfrm>
                    <a:prstGeom prst="rect"/>
                  </pic:spPr>
                </pic:pic>
              </a:graphicData>
            </a:graphic>
          </wp:inline>
        </w:drawing>
      </w:r>
    </w:p>
    <w:p>
      <w:pPr>
        <w:spacing w:after="240"/>
        <w:jc w:val="center"/>
      </w:pPr>
      <w:r>
        <w:rPr>
          <w:i/>
          <w:color w:val="666666"/>
          <w:sz w:val="18"/>
        </w:rPr>
        <w:t>The Trending page — Risers and Fallers ranked by streak length, with a profile and news panel for the selected stock.</w:t>
      </w:r>
    </w:p>
    <w:p>
      <w:r>
        <w:rPr>
          <w:b/>
        </w:rPr>
        <w:t>What "trending" means here:</w:t>
      </w:r>
      <w:r>
        <w:t xml:space="preserve"> a stock qualifies once it has risen (or fallen) for </w:t>
      </w:r>
      <w:r>
        <w:rPr>
          <w:b/>
        </w:rPr>
        <w:t>3 or more consecutive trading days</w:t>
      </w:r>
      <w:r>
        <w:t xml:space="preserve">. The lists are ranked by </w:t>
      </w:r>
      <w:r>
        <w:rPr>
          <w:b/>
        </w:rPr>
        <w:t>streak length</w:t>
      </w:r>
      <w:r>
        <w:t>, so the names at the top have the longest unbroken runs.</w:t>
      </w:r>
    </w:p>
    <w:p>
      <w:r>
        <w:rPr>
          <w:b/>
        </w:rPr>
        <w:t>The layout — three columns plus news: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Column</w:t>
            </w:r>
          </w:p>
        </w:tc>
        <w:tc>
          <w:tcPr>
            <w:tcW w:type="dxa" w:w="4320"/>
            <w:shd w:val="clear" w:color="auto" w:fill="E7ECF3"/>
          </w:tcPr>
          <w:p>
            <w:r>
              <w:rPr>
                <w:b/>
              </w:rPr>
            </w:r>
            <w:r>
              <w:rPr>
                <w:b/>
              </w:rPr>
            </w:r>
            <w:r>
              <w:rPr>
                <w:b/>
              </w:rPr>
              <w:t>What it shows</w:t>
            </w:r>
          </w:p>
        </w:tc>
      </w:tr>
      <w:tr>
        <w:tc>
          <w:tcPr>
            <w:tcW w:type="dxa" w:w="4320"/>
          </w:tcPr>
          <w:p>
            <w:r/>
            <w:r>
              <w:rPr>
                <w:b/>
              </w:rPr>
              <w:t>Risers</w:t>
            </w:r>
            <w:r>
              <w:t xml:space="preserve"> </w:t>
            </w:r>
            <w:r>
              <w:rPr>
                <w:i/>
              </w:rPr>
              <w:t>(green)</w:t>
            </w:r>
          </w:p>
        </w:tc>
        <w:tc>
          <w:tcPr>
            <w:tcW w:type="dxa" w:w="4320"/>
          </w:tcPr>
          <w:p>
            <w:r/>
            <w:r>
              <w:t xml:space="preserve">Stocks on a run of consecutive </w:t>
            </w:r>
            <w:r>
              <w:rPr>
                <w:b/>
              </w:rPr>
              <w:t>up</w:t>
            </w:r>
            <w:r>
              <w:t xml:space="preserve"> days, longest streak first.</w:t>
            </w:r>
          </w:p>
        </w:tc>
      </w:tr>
      <w:tr>
        <w:tc>
          <w:tcPr>
            <w:tcW w:type="dxa" w:w="4320"/>
          </w:tcPr>
          <w:p>
            <w:r/>
            <w:r>
              <w:rPr>
                <w:b/>
              </w:rPr>
              <w:t>Fallers</w:t>
            </w:r>
            <w:r>
              <w:t xml:space="preserve"> </w:t>
            </w:r>
            <w:r>
              <w:rPr>
                <w:i/>
              </w:rPr>
              <w:t>(red)</w:t>
            </w:r>
          </w:p>
        </w:tc>
        <w:tc>
          <w:tcPr>
            <w:tcW w:type="dxa" w:w="4320"/>
          </w:tcPr>
          <w:p>
            <w:r/>
            <w:r>
              <w:t xml:space="preserve">Stocks on a run of consecutive </w:t>
            </w:r>
            <w:r>
              <w:rPr>
                <w:b/>
              </w:rPr>
              <w:t>down</w:t>
            </w:r>
            <w:r>
              <w:t xml:space="preserve"> days, longest streak first.</w:t>
            </w:r>
          </w:p>
        </w:tc>
      </w:tr>
      <w:tr>
        <w:tc>
          <w:tcPr>
            <w:tcW w:type="dxa" w:w="4320"/>
          </w:tcPr>
          <w:p>
            <w:r/>
            <w:r>
              <w:rPr>
                <w:b/>
              </w:rPr>
              <w:t>Profile</w:t>
            </w:r>
          </w:p>
        </w:tc>
        <w:tc>
          <w:tcPr>
            <w:tcW w:type="dxa" w:w="4320"/>
          </w:tcPr>
          <w:p>
            <w:r/>
            <w:r>
              <w:t>Click any name in either list to load a mini-profile on the right — recent price action and the key headline figures — without leaving the page.</w:t>
            </w:r>
          </w:p>
        </w:tc>
      </w:tr>
    </w:tbl>
    <w:p>
      <w:r>
        <w:t xml:space="preserve">Below the three columns, a full-width </w:t>
      </w:r>
      <w:r>
        <w:rPr>
          <w:b/>
        </w:rPr>
        <w:t>News</w:t>
      </w:r>
      <w:r>
        <w:t xml:space="preserve"> panel shows the selected company's recent RNS and press coverage (the same combined feed as the Company News tab, see </w:t>
      </w:r>
      <w:r>
        <w:t>§4.8</w:t>
      </w:r>
      <w:r>
        <w:t>). Click the company name in the profile to open its full detail page.</w:t>
      </w:r>
    </w:p>
    <w:p>
      <w:r>
        <w:rPr>
          <w:b/>
        </w:rPr>
        <w:t>Why it matters for upside / downside:</w:t>
      </w:r>
    </w:p>
    <w:p>
      <w:pPr>
        <w:spacing w:after="40"/>
        <w:ind w:left="360"/>
      </w:pPr>
      <w:r>
        <w:t xml:space="preserve">• </w:t>
      </w:r>
      <w:r>
        <w:t xml:space="preserve">A long </w:t>
      </w:r>
      <w:r>
        <w:rPr>
          <w:b/>
        </w:rPr>
        <w:t>riser</w:t>
      </w:r>
      <w:r>
        <w:t xml:space="preserve"> streak can confirm momentum the market is rewarding — cross-check it against the company's Quality and Risk scores before chasing it.</w:t>
      </w:r>
    </w:p>
    <w:p>
      <w:pPr>
        <w:spacing w:after="40"/>
        <w:ind w:left="360"/>
      </w:pPr>
      <w:r>
        <w:t xml:space="preserve">• </w:t>
      </w:r>
      <w:r>
        <w:t xml:space="preserve">A long </w:t>
      </w:r>
      <w:r>
        <w:rPr>
          <w:b/>
        </w:rPr>
        <w:t>faller</w:t>
      </w:r>
      <w:r>
        <w:t xml:space="preserve"> streak on a stock you own is an early warning to read the News panel immediately: a run of down days often coincides with a profit warning or a deteriorating story.</w:t>
      </w:r>
    </w:p>
    <w:p>
      <w:pPr>
        <w:spacing w:after="40"/>
        <w:ind w:left="360"/>
      </w:pPr>
      <w:r>
        <w:t xml:space="preserve">• </w:t>
      </w:r>
      <w:r>
        <w:t xml:space="preserve">Because the News panel sits right beside the streak lists, you can quickly tell whether a move is </w:t>
      </w:r>
      <w:r>
        <w:rPr>
          <w:b/>
        </w:rPr>
        <w:t>news-driven</w:t>
      </w:r>
      <w:r>
        <w:t xml:space="preserve"> (a specific catalyst) or just </w:t>
      </w:r>
      <w:r>
        <w:rPr>
          <w:b/>
        </w:rPr>
        <w:t>drift</w:t>
      </w:r>
      <w:r>
        <w:t xml:space="preserve"> (no obvious reason), which changes how you should react.</w:t>
      </w:r>
    </w:p>
    <w:p>
      <w:pPr>
        <w:pBdr>
          <w:bottom w:val="single" w:sz="6" w:space="1" w:color="CCCCCC"/>
        </w:pBdr>
      </w:pPr>
    </w:p>
    <w:p>
      <w:pPr>
        <w:pStyle w:val="Heading2"/>
      </w:pPr>
      <w:bookmarkStart w:id="50" w:name="mh50"/>
      <w:r>
        <w:t>10. The Sidebar — Your Instant Dashboard</w:t>
      </w:r>
      <w:bookmarkEnd w:id="50"/>
    </w:p>
    <w:p>
      <w:r>
        <w:t xml:space="preserve">The sidebar (toggle it on or off via the icon at the top-left of the navigation) gives you an instant market snapshot. Its figures are </w:t>
      </w:r>
      <w:r>
        <w:rPr>
          <w:b/>
        </w:rPr>
        <w:t>live</w:t>
      </w:r>
      <w:r>
        <w:t xml:space="preserve"> — they refresh automatically every few minutes so an open tab stays current. From top to bottom:</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Item</w:t>
            </w:r>
          </w:p>
        </w:tc>
        <w:tc>
          <w:tcPr>
            <w:tcW w:type="dxa" w:w="4320"/>
            <w:shd w:val="clear" w:color="auto" w:fill="E7ECF3"/>
          </w:tcPr>
          <w:p>
            <w:r>
              <w:rPr>
                <w:b/>
              </w:rPr>
            </w:r>
            <w:r>
              <w:rPr>
                <w:b/>
              </w:rPr>
            </w:r>
            <w:r>
              <w:rPr>
                <w:b/>
              </w:rPr>
              <w:t>What it shows</w:t>
            </w:r>
          </w:p>
        </w:tc>
      </w:tr>
      <w:tr>
        <w:tc>
          <w:tcPr>
            <w:tcW w:type="dxa" w:w="4320"/>
          </w:tcPr>
          <w:p>
            <w:r/>
            <w:r>
              <w:rPr>
                <w:b/>
              </w:rPr>
              <w:t>LSE market clock</w:t>
            </w:r>
          </w:p>
        </w:tc>
        <w:tc>
          <w:tcPr>
            <w:tcW w:type="dxa" w:w="4320"/>
          </w:tcPr>
          <w:p>
            <w:r/>
            <w:r>
              <w:t xml:space="preserve">Whether the London Stock Exchange is </w:t>
            </w:r>
            <w:r>
              <w:rPr>
                <w:b/>
              </w:rPr>
              <w:t>open</w:t>
            </w:r>
            <w:r>
              <w:t xml:space="preserve"> or </w:t>
            </w:r>
            <w:r>
              <w:rPr>
                <w:b/>
              </w:rPr>
              <w:t>closed</w:t>
            </w:r>
            <w:r>
              <w:t xml:space="preserve"> right now. When open, a live countdown to the 16:30 close; when closed, when it next opens. It knows weekends, UK bank holidays, and the 12:30 half-day closes (Christmas Eve / New Year's Eve).</w:t>
            </w:r>
          </w:p>
        </w:tc>
      </w:tr>
      <w:tr>
        <w:tc>
          <w:tcPr>
            <w:tcW w:type="dxa" w:w="4320"/>
          </w:tcPr>
          <w:p>
            <w:r/>
            <w:r>
              <w:rPr>
                <w:b/>
              </w:rPr>
              <w:t>Benchmarks</w:t>
            </w:r>
          </w:p>
        </w:tc>
        <w:tc>
          <w:tcPr>
            <w:tcW w:type="dxa" w:w="4320"/>
          </w:tcPr>
          <w:p>
            <w:r/>
            <w:r>
              <w:t>Live total return for each headline index (FTSE 100 / 250 / All-Share) — price plus dividends.</w:t>
            </w:r>
          </w:p>
        </w:tc>
      </w:tr>
      <w:tr>
        <w:tc>
          <w:tcPr>
            <w:tcW w:type="dxa" w:w="4320"/>
          </w:tcPr>
          <w:p>
            <w:r/>
            <w:r>
              <w:rPr>
                <w:b/>
              </w:rPr>
              <w:t>ICB Sectors</w:t>
            </w:r>
          </w:p>
        </w:tc>
        <w:tc>
          <w:tcPr>
            <w:tcW w:type="dxa" w:w="4320"/>
          </w:tcPr>
          <w:p>
            <w:r/>
            <w:r>
              <w:t xml:space="preserve">Each sector's latest move, colour-coded. </w:t>
            </w:r>
            <w:r>
              <w:rPr>
                <w:b/>
              </w:rPr>
              <w:t>Click a sector</w:t>
            </w:r>
            <w:r>
              <w:t xml:space="preserve"> to expand it and reveal its constituent companies, each with its own daily move — a quick way to see what is driving a sector.</w:t>
            </w:r>
          </w:p>
        </w:tc>
      </w:tr>
      <w:tr>
        <w:tc>
          <w:tcPr>
            <w:tcW w:type="dxa" w:w="4320"/>
          </w:tcPr>
          <w:p>
            <w:r/>
            <w:r>
              <w:rPr>
                <w:b/>
              </w:rPr>
              <w:t>UK Fear &amp; Greed</w:t>
            </w:r>
          </w:p>
        </w:tc>
        <w:tc>
          <w:tcPr>
            <w:tcW w:type="dxa" w:w="4320"/>
          </w:tcPr>
          <w:p>
            <w:r/>
            <w:r>
              <w:t>The Alpha Move AI UK sentiment score and label. Click it to jump to the Markets page.</w:t>
            </w:r>
          </w:p>
        </w:tc>
      </w:tr>
      <w:tr>
        <w:tc>
          <w:tcPr>
            <w:tcW w:type="dxa" w:w="4320"/>
          </w:tcPr>
          <w:p>
            <w:r/>
            <w:r>
              <w:rPr>
                <w:b/>
              </w:rPr>
              <w:t>VIX (US)</w:t>
            </w:r>
          </w:p>
        </w:tc>
        <w:tc>
          <w:tcPr>
            <w:tcW w:type="dxa" w:w="4320"/>
          </w:tcPr>
          <w:p>
            <w:r/>
            <w:r>
              <w:t>Current US volatility index level. Below 20 = calm; 20–30 = elevated; 30+ = stressed.</w:t>
            </w:r>
          </w:p>
        </w:tc>
      </w:tr>
      <w:tr>
        <w:tc>
          <w:tcPr>
            <w:tcW w:type="dxa" w:w="4320"/>
          </w:tcPr>
          <w:p>
            <w:r/>
            <w:r>
              <w:rPr>
                <w:b/>
              </w:rPr>
              <w:t>F&amp;G (US)</w:t>
            </w:r>
          </w:p>
        </w:tc>
        <w:tc>
          <w:tcPr>
            <w:tcW w:type="dxa" w:w="4320"/>
          </w:tcPr>
          <w:p>
            <w:r/>
            <w:r>
              <w:t>CNN's external US market sentiment gauge, with its label.</w:t>
            </w:r>
          </w:p>
        </w:tc>
      </w:tr>
      <w:tr>
        <w:tc>
          <w:tcPr>
            <w:tcW w:type="dxa" w:w="4320"/>
          </w:tcPr>
          <w:p>
            <w:r/>
            <w:r>
              <w:rPr>
                <w:b/>
              </w:rPr>
              <w:t>▦ Heatmap</w:t>
            </w:r>
          </w:p>
        </w:tc>
        <w:tc>
          <w:tcPr>
            <w:tcW w:type="dxa" w:w="4320"/>
          </w:tcPr>
          <w:p>
            <w:r/>
            <w:r>
              <w:t xml:space="preserve">Opens the full-screen Sector Heatmap (treemap) — see </w:t>
            </w:r>
            <w:r>
              <w:t>§5.3</w:t>
            </w:r>
            <w:r>
              <w:t>.</w:t>
            </w:r>
          </w:p>
        </w:tc>
      </w:tr>
      <w:tr>
        <w:tc>
          <w:tcPr>
            <w:tcW w:type="dxa" w:w="4320"/>
          </w:tcPr>
          <w:p>
            <w:r/>
            <w:r>
              <w:rPr>
                <w:b/>
              </w:rPr>
              <w:t>Support / Feedback</w:t>
            </w:r>
          </w:p>
        </w:tc>
        <w:tc>
          <w:tcPr>
            <w:tcW w:type="dxa" w:w="4320"/>
          </w:tcPr>
          <w:p>
            <w:r/>
            <w:r>
              <w:t>Links to support the project and to send feedback.</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Tip:</w:t>
            </w:r>
            <w:r>
              <w:t xml:space="preserve"> Clicking the UK Fear &amp; Greed score or either US indicator takes you straight to the combined </w:t>
            </w:r>
            <w:r>
              <w:rPr>
                <w:b/>
              </w:rPr>
              <w:t>Markets</w:t>
            </w:r>
            <w:r>
              <w:t xml:space="preserve"> page, where the full charts and component breakdowns live.</w:t>
            </w:r>
          </w:p>
        </w:tc>
      </w:tr>
    </w:tbl>
    <w:p>
      <w:pPr>
        <w:pBdr>
          <w:bottom w:val="single" w:sz="6" w:space="1" w:color="CCCCCC"/>
        </w:pBdr>
      </w:pPr>
    </w:p>
    <w:p>
      <w:pPr>
        <w:pStyle w:val="Heading2"/>
      </w:pPr>
      <w:bookmarkStart w:id="51" w:name="mh51"/>
      <w:r>
        <w:t>11. How To Find Investment Leads — Step-by-Step Workflows</w:t>
      </w:r>
      <w:bookmarkEnd w:id="51"/>
    </w:p>
    <w:p>
      <w:r>
        <w:t>The following workflows use combinations of the tools described above to identify promising investment candidates. These are starting points for research, not buy recommendations.</w:t>
      </w:r>
    </w:p>
    <w:p>
      <w:r>
        <w:t>The first five (11.1–11.5) are classic single-angle workflows. The last three (11.6–11.8) combine multiple tools in the app and are designed specifically to maximise the chance of upside while minimising downside risk.</w:t>
      </w:r>
    </w:p>
    <w:p>
      <w:pPr>
        <w:pBdr>
          <w:bottom w:val="single" w:sz="6" w:space="1" w:color="CCCCCC"/>
        </w:pBdr>
      </w:pPr>
    </w:p>
    <w:p>
      <w:pPr>
        <w:pStyle w:val="Heading3"/>
      </w:pPr>
      <w:bookmarkStart w:id="52" w:name="mh52"/>
      <w:r>
        <w:t>11.1 The Quality + Value Filter</w:t>
      </w:r>
      <w:bookmarkEnd w:id="52"/>
    </w:p>
    <w:p>
      <w:r>
        <w:rPr>
          <w:b/>
        </w:rPr>
        <w:t>Suitable for:</w:t>
      </w:r>
      <w:r>
        <w:t xml:space="preserve"> Long-term investors seeking high-quality businesses at reasonable prices.</w:t>
      </w:r>
    </w:p>
    <w:p>
      <w:r>
        <w:rPr>
          <w:b/>
        </w:rPr>
        <w:t>Philosophy:</w:t>
      </w:r>
      <w:r>
        <w:t xml:space="preserve"> The best investments combine high business quality (durable competitive advantages, high returns on capital) with a reasonable price (confirmed by fundamental health checks). This combines elements of Warren Buffett's quality-focused approach with Piotroski's systematic value screening.</w:t>
      </w:r>
    </w:p>
    <w:p>
      <w:r>
        <w:rPr>
          <w:b/>
        </w:rPr>
        <w:t>Steps:</w:t>
      </w:r>
    </w:p>
    <w:p>
      <w:pPr>
        <w:spacing w:after="40"/>
        <w:ind w:left="360"/>
      </w:pPr>
      <w:r>
        <w:t xml:space="preserve">1. </w:t>
      </w:r>
      <w:r>
        <w:t xml:space="preserve">Go to </w:t>
      </w:r>
      <w:r>
        <w:rPr>
          <w:b/>
        </w:rPr>
        <w:t>Screener</w:t>
      </w:r>
      <w:r>
        <w:t xml:space="preserve"> (Fundamentals view)</w:t>
      </w:r>
    </w:p>
    <w:p>
      <w:pPr>
        <w:spacing w:after="40"/>
        <w:ind w:left="360"/>
      </w:pPr>
      <w:r>
        <w:t xml:space="preserve">2. </w:t>
      </w:r>
      <w:r>
        <w:t>Set filters:</w:t>
      </w:r>
    </w:p>
    <w:p>
      <w:pPr>
        <w:spacing w:after="40"/>
        <w:ind w:left="720"/>
      </w:pPr>
      <w:r>
        <w:t xml:space="preserve">– </w:t>
      </w:r>
      <w:r>
        <w:t xml:space="preserve">Min Quality Score: </w:t>
      </w:r>
      <w:r>
        <w:rPr>
          <w:b/>
        </w:rPr>
        <w:t>7</w:t>
      </w:r>
    </w:p>
    <w:p>
      <w:pPr>
        <w:spacing w:after="40"/>
        <w:ind w:left="720"/>
      </w:pPr>
      <w:r>
        <w:t xml:space="preserve">– </w:t>
      </w:r>
      <w:r>
        <w:t xml:space="preserve">Min Piotroski: </w:t>
      </w:r>
      <w:r>
        <w:rPr>
          <w:b/>
        </w:rPr>
        <w:t>6</w:t>
      </w:r>
    </w:p>
    <w:p>
      <w:pPr>
        <w:spacing w:after="40"/>
        <w:ind w:left="720"/>
      </w:pPr>
      <w:r>
        <w:t xml:space="preserve">– </w:t>
      </w:r>
      <w:r>
        <w:t xml:space="preserve">Max Risk Score: </w:t>
      </w:r>
      <w:r>
        <w:rPr>
          <w:b/>
        </w:rPr>
        <w:t>5</w:t>
      </w:r>
    </w:p>
    <w:p>
      <w:pPr>
        <w:spacing w:after="40"/>
        <w:ind w:left="720"/>
      </w:pPr>
      <w:r>
        <w:t xml:space="preserve">– </w:t>
      </w:r>
      <w:r>
        <w:t xml:space="preserve">Min ROE: </w:t>
      </w:r>
      <w:r>
        <w:rPr>
          <w:b/>
        </w:rPr>
        <w:t>12%</w:t>
      </w:r>
    </w:p>
    <w:p>
      <w:pPr>
        <w:spacing w:after="40"/>
        <w:ind w:left="360"/>
      </w:pPr>
      <w:r>
        <w:t xml:space="preserve">3. </w:t>
      </w:r>
      <w:r>
        <w:t xml:space="preserve">Sort by </w:t>
      </w:r>
      <w:r>
        <w:rPr>
          <w:b/>
        </w:rPr>
        <w:t>Quality Score</w:t>
      </w:r>
      <w:r>
        <w:t xml:space="preserve"> descending</w:t>
      </w:r>
    </w:p>
    <w:p>
      <w:pPr>
        <w:spacing w:after="40"/>
        <w:ind w:left="360"/>
      </w:pPr>
      <w:r>
        <w:t xml:space="preserve">4. </w:t>
      </w:r>
      <w:r>
        <w:t xml:space="preserve">For each result, click through to the </w:t>
      </w:r>
      <w:r>
        <w:rPr>
          <w:b/>
        </w:rPr>
        <w:t>Valuation tab</w:t>
      </w:r>
      <w:r>
        <w:t xml:space="preserve"> and assess P/E and EV/EBITDA relative to the sector average</w:t>
      </w:r>
    </w:p>
    <w:p>
      <w:pPr>
        <w:spacing w:after="40"/>
        <w:ind w:left="360"/>
      </w:pPr>
      <w:r>
        <w:t xml:space="preserve">5. </w:t>
      </w:r>
      <w:r>
        <w:t xml:space="preserve">Check the </w:t>
      </w:r>
      <w:r>
        <w:rPr>
          <w:b/>
        </w:rPr>
        <w:t>Growth tab</w:t>
      </w:r>
      <w:r>
        <w:t xml:space="preserve"> to confirm margins are stable or expanding</w:t>
      </w:r>
    </w:p>
    <w:p>
      <w:pPr>
        <w:spacing w:after="40"/>
        <w:ind w:left="360"/>
      </w:pPr>
      <w:r>
        <w:t xml:space="preserve">6. </w:t>
      </w:r>
      <w:r>
        <w:t xml:space="preserve">Check the </w:t>
      </w:r>
      <w:r>
        <w:rPr>
          <w:b/>
        </w:rPr>
        <w:t>Health tab</w:t>
      </w:r>
      <w:r>
        <w:t xml:space="preserve"> to confirm the balance sheet is robust</w:t>
      </w:r>
    </w:p>
    <w:p>
      <w:r>
        <w:rPr>
          <w:b/>
        </w:rPr>
        <w:t>What you are looking for:</w:t>
      </w:r>
      <w:r>
        <w:t xml:space="preserve"> Companies with Quality 8+, Piotroski 7+, trading on a P/E below their historical average or sector peers. These are businesses the market may be undervaluing despite their fundamental strength.</w:t>
      </w:r>
    </w:p>
    <w:p>
      <w:pPr>
        <w:pBdr>
          <w:bottom w:val="single" w:sz="6" w:space="1" w:color="CCCCCC"/>
        </w:pBdr>
      </w:pPr>
    </w:p>
    <w:p>
      <w:pPr>
        <w:pStyle w:val="Heading3"/>
      </w:pPr>
      <w:bookmarkStart w:id="53" w:name="mh53"/>
      <w:r>
        <w:t>11.2 The Momentum Trend-Following Approach</w:t>
      </w:r>
      <w:bookmarkEnd w:id="53"/>
    </w:p>
    <w:p>
      <w:r>
        <w:rPr>
          <w:b/>
        </w:rPr>
        <w:t>Suitable for:</w:t>
      </w:r>
      <w:r>
        <w:t xml:space="preserve"> Investors comfortable with medium-term active management.</w:t>
      </w:r>
    </w:p>
    <w:p>
      <w:r>
        <w:rPr>
          <w:b/>
        </w:rPr>
        <w:t>Philosophy:</w:t>
      </w:r>
      <w:r>
        <w:t xml:space="preserve"> Stocks with strong price momentum tend to continue outperforming over the following 3–12 months. This is one of the most replicated findings in academic finance (see Appendix A). Combining momentum with a quality check reduces the risk of buying high-momentum but fundamentally weak stocks ("crowded trades").</w:t>
      </w:r>
    </w:p>
    <w:p>
      <w:r>
        <w:rPr>
          <w:b/>
        </w:rPr>
        <w:t>Steps:</w:t>
      </w:r>
    </w:p>
    <w:p>
      <w:pPr>
        <w:spacing w:after="40"/>
        <w:ind w:left="360"/>
      </w:pPr>
      <w:r>
        <w:t xml:space="preserve">1. </w:t>
      </w:r>
      <w:r>
        <w:t xml:space="preserve">Check the </w:t>
      </w:r>
      <w:r>
        <w:rPr>
          <w:b/>
        </w:rPr>
        <w:t>Fear &amp; Greed Index</w:t>
      </w:r>
      <w:r>
        <w:t xml:space="preserve"> — only pursue this strategy when the score is in Neutral to Greed territory (45–80). In Extreme Fear markets, momentum strategies frequently fail.</w:t>
      </w:r>
    </w:p>
    <w:p>
      <w:pPr>
        <w:spacing w:after="40"/>
        <w:ind w:left="360"/>
      </w:pPr>
      <w:r>
        <w:t xml:space="preserve">2. </w:t>
      </w:r>
      <w:r>
        <w:t xml:space="preserve">Go to the </w:t>
      </w:r>
      <w:r>
        <w:rPr>
          <w:b/>
        </w:rPr>
        <w:t>Screener</w:t>
      </w:r>
      <w:r>
        <w:t xml:space="preserve">, check </w:t>
      </w:r>
      <w:r>
        <w:rPr>
          <w:b/>
        </w:rPr>
        <w:t>Sector Rotation</w:t>
      </w:r>
      <w:r>
        <w:t xml:space="preserve"> for the top 2–3 sectors by RS Score (the BUY-signalled sectors)</w:t>
      </w:r>
    </w:p>
    <w:p>
      <w:pPr>
        <w:spacing w:after="40"/>
        <w:ind w:left="360"/>
      </w:pPr>
      <w:r>
        <w:t xml:space="preserve">3. </w:t>
      </w:r>
      <w:r>
        <w:t>Back in the Screener, filter by those sectors</w:t>
      </w:r>
    </w:p>
    <w:p>
      <w:pPr>
        <w:spacing w:after="40"/>
        <w:ind w:left="360"/>
      </w:pPr>
      <w:r>
        <w:t xml:space="preserve">4. </w:t>
      </w:r>
      <w:r>
        <w:t xml:space="preserve">Set: Min Momentum Score </w:t>
      </w:r>
      <w:r>
        <w:rPr>
          <w:b/>
        </w:rPr>
        <w:t>7</w:t>
      </w:r>
      <w:r>
        <w:t xml:space="preserve">, Min Quality Score </w:t>
      </w:r>
      <w:r>
        <w:rPr>
          <w:b/>
        </w:rPr>
        <w:t>5</w:t>
      </w:r>
      <w:r>
        <w:t xml:space="preserve">, Max Risk Score </w:t>
      </w:r>
      <w:r>
        <w:rPr>
          <w:b/>
        </w:rPr>
        <w:t>6</w:t>
      </w:r>
    </w:p>
    <w:p>
      <w:pPr>
        <w:spacing w:after="40"/>
        <w:ind w:left="360"/>
      </w:pPr>
      <w:r>
        <w:t xml:space="preserve">5. </w:t>
      </w:r>
      <w:r>
        <w:t xml:space="preserve">Sort by </w:t>
      </w:r>
      <w:r>
        <w:rPr>
          <w:b/>
        </w:rPr>
        <w:t>Momentum Score</w:t>
      </w:r>
      <w:r>
        <w:t xml:space="preserve"> descending</w:t>
      </w:r>
    </w:p>
    <w:p>
      <w:pPr>
        <w:spacing w:after="40"/>
        <w:ind w:left="360"/>
      </w:pPr>
      <w:r>
        <w:t xml:space="preserve">6. </w:t>
      </w:r>
      <w:r>
        <w:t xml:space="preserve">Click through each result; on the </w:t>
      </w:r>
      <w:r>
        <w:rPr>
          <w:b/>
        </w:rPr>
        <w:t>Chart tab</w:t>
      </w:r>
      <w:r>
        <w:t>, confirm the price is above both the MA20 and MA50</w:t>
      </w:r>
    </w:p>
    <w:p>
      <w:r>
        <w:rPr>
          <w:b/>
        </w:rPr>
        <w:t>What you are looking for:</w:t>
      </w:r>
      <w:r>
        <w:t xml:space="preserve"> High-momentum stocks in leading sectors with the price above both moving averages. This combination — sector leadership + stock momentum + price confirmation — increases the probability of continued outperformance.</w:t>
      </w:r>
    </w:p>
    <w:p>
      <w:pPr>
        <w:pBdr>
          <w:bottom w:val="single" w:sz="6" w:space="1" w:color="CCCCCC"/>
        </w:pBdr>
      </w:pPr>
    </w:p>
    <w:p>
      <w:pPr>
        <w:pStyle w:val="Heading3"/>
      </w:pPr>
      <w:bookmarkStart w:id="54" w:name="mh54"/>
      <w:r>
        <w:t>11.3 The Analyst Upgrade Hunt</w:t>
      </w:r>
      <w:bookmarkEnd w:id="54"/>
    </w:p>
    <w:p>
      <w:r>
        <w:rPr>
          <w:b/>
        </w:rPr>
        <w:t>Suitable for:</w:t>
      </w:r>
      <w:r>
        <w:t xml:space="preserve"> Investors who want to follow professional money.</w:t>
      </w:r>
    </w:p>
    <w:p>
      <w:r>
        <w:rPr>
          <w:b/>
        </w:rPr>
        <w:t>Philosophy:</w:t>
      </w:r>
      <w:r>
        <w:t xml:space="preserve"> Analyst earnings upgrades (upward EPS revisions) are one of the strongest short-to-medium term price catalysts. When analysts raise their profit forecasts, it signals they have discovered something positive about the company's fundamentals — and the market typically reprices accordingly.</w:t>
      </w:r>
    </w:p>
    <w:p>
      <w:r>
        <w:rPr>
          <w:b/>
        </w:rPr>
        <w:t>Steps:</w:t>
      </w:r>
    </w:p>
    <w:p>
      <w:pPr>
        <w:spacing w:after="40"/>
        <w:ind w:left="360"/>
      </w:pPr>
      <w:r>
        <w:t xml:space="preserve">1. </w:t>
      </w:r>
      <w:r>
        <w:t xml:space="preserve">Go to the </w:t>
      </w:r>
      <w:r>
        <w:rPr>
          <w:b/>
        </w:rPr>
        <w:t>Analyst Monitor</w:t>
      </w:r>
      <w:r>
        <w:t xml:space="preserve"> page</w:t>
      </w:r>
    </w:p>
    <w:p>
      <w:pPr>
        <w:spacing w:after="40"/>
        <w:ind w:left="360"/>
      </w:pPr>
      <w:r>
        <w:t xml:space="preserve">2. </w:t>
      </w:r>
      <w:r>
        <w:t xml:space="preserve">Sort the </w:t>
      </w:r>
      <w:r>
        <w:rPr>
          <w:b/>
        </w:rPr>
        <w:t>Latest Consensus</w:t>
      </w:r>
      <w:r>
        <w:t xml:space="preserve"> table by </w:t>
      </w:r>
      <w:r>
        <w:rPr>
          <w:b/>
        </w:rPr>
        <w:t>Rev Score</w:t>
      </w:r>
      <w:r>
        <w:t xml:space="preserve"> descending</w:t>
      </w:r>
    </w:p>
    <w:p>
      <w:pPr>
        <w:spacing w:after="40"/>
        <w:ind w:left="360"/>
      </w:pPr>
      <w:r>
        <w:t xml:space="preserve">3. </w:t>
      </w:r>
      <w:r>
        <w:t>Look for stocks where Rev Score is positive (more upgrades than downgrades in the last 30 days) AND consensus is Buy AND upside % is 15%+</w:t>
      </w:r>
    </w:p>
    <w:p>
      <w:pPr>
        <w:spacing w:after="40"/>
        <w:ind w:left="360"/>
      </w:pPr>
      <w:r>
        <w:t xml:space="preserve">4. </w:t>
      </w:r>
      <w:r>
        <w:t>Cross-reference these names in the main Screener (Fundamentals view) to confirm they also score well on Quality and have a Risk Score ≤ 6</w:t>
      </w:r>
    </w:p>
    <w:p>
      <w:pPr>
        <w:spacing w:after="40"/>
        <w:ind w:left="360"/>
      </w:pPr>
      <w:r>
        <w:t xml:space="preserve">5. </w:t>
      </w:r>
      <w:r>
        <w:t xml:space="preserve">Check the </w:t>
      </w:r>
      <w:r>
        <w:rPr>
          <w:b/>
        </w:rPr>
        <w:t>Analysts tab</w:t>
      </w:r>
      <w:r>
        <w:t xml:space="preserve"> in Company Detail for the individual breakdown of estimate changes</w:t>
      </w:r>
    </w:p>
    <w:p>
      <w:r>
        <w:rPr>
          <w:b/>
        </w:rPr>
        <w:t>What you are looking for:</w:t>
      </w:r>
      <w:r>
        <w:t xml:space="preserve"> Stocks where analysts are becoming increasingly positive AND the fundamentals support the bullish case. The "Changes" section on the Monitor page highlights stocks where consensus has recently shifted — these are the freshest signals.</w:t>
      </w:r>
    </w:p>
    <w:p>
      <w:pPr>
        <w:pBdr>
          <w:bottom w:val="single" w:sz="6" w:space="1" w:color="CCCCCC"/>
        </w:pBdr>
      </w:pPr>
    </w:p>
    <w:p>
      <w:pPr>
        <w:pStyle w:val="Heading3"/>
      </w:pPr>
      <w:bookmarkStart w:id="55" w:name="mh55"/>
      <w:r>
        <w:t>11.4 The Sector Rotation Strategy</w:t>
      </w:r>
      <w:bookmarkEnd w:id="55"/>
    </w:p>
    <w:p>
      <w:r>
        <w:rPr>
          <w:b/>
        </w:rPr>
        <w:t>Suitable for:</w:t>
      </w:r>
      <w:r>
        <w:t xml:space="preserve"> Investors who want to tilt their portfolio toward market-leading areas.</w:t>
      </w:r>
    </w:p>
    <w:p>
      <w:r>
        <w:rPr>
          <w:b/>
        </w:rPr>
        <w:t>Philosophy:</w:t>
      </w:r>
      <w:r>
        <w:t xml:space="preserve"> Markets rotate through sectors as the economic cycle progresses. Being in the leading sectors significantly improves returns; avoiding lagging sectors reduces drawdowns.</w:t>
      </w:r>
    </w:p>
    <w:p>
      <w:r>
        <w:rPr>
          <w:b/>
        </w:rPr>
        <w:t>Steps:</w:t>
      </w:r>
    </w:p>
    <w:p>
      <w:pPr>
        <w:spacing w:after="40"/>
        <w:ind w:left="360"/>
      </w:pPr>
      <w:r>
        <w:t xml:space="preserve">1. </w:t>
      </w:r>
      <w:r>
        <w:t xml:space="preserve">Go to </w:t>
      </w:r>
      <w:r>
        <w:rPr>
          <w:b/>
        </w:rPr>
        <w:t>Markets</w:t>
      </w:r>
      <w:r>
        <w:t xml:space="preserve"> and scroll to the </w:t>
      </w:r>
      <w:r>
        <w:rPr>
          <w:b/>
        </w:rPr>
        <w:t>Sector Rotation</w:t>
      </w:r>
      <w:r>
        <w:t xml:space="preserve"> panel; review the </w:t>
      </w:r>
      <w:r>
        <w:rPr>
          <w:b/>
        </w:rPr>
        <w:t>Signal Log</w:t>
      </w:r>
      <w:r>
        <w:t xml:space="preserve"> for context on how long a signal has been in place</w:t>
      </w:r>
    </w:p>
    <w:p>
      <w:pPr>
        <w:spacing w:after="40"/>
        <w:ind w:left="360"/>
      </w:pPr>
      <w:r>
        <w:t xml:space="preserve">2. </w:t>
      </w:r>
      <w:r>
        <w:t>Identify sectors with a BUY signal (RS &gt; 1.05, rising trend) and strong breadth (&gt;60% of stocks above 50-day MA)</w:t>
      </w:r>
    </w:p>
    <w:p>
      <w:pPr>
        <w:spacing w:after="40"/>
        <w:ind w:left="360"/>
      </w:pPr>
      <w:r>
        <w:t xml:space="preserve">3. </w:t>
      </w:r>
      <w:r>
        <w:t>In the Screener, filter by the leading sector(s)</w:t>
      </w:r>
    </w:p>
    <w:p>
      <w:pPr>
        <w:spacing w:after="40"/>
        <w:ind w:left="360"/>
      </w:pPr>
      <w:r>
        <w:t xml:space="preserve">4. </w:t>
      </w:r>
      <w:r>
        <w:t xml:space="preserve">Apply: Min Momentum </w:t>
      </w:r>
      <w:r>
        <w:rPr>
          <w:b/>
        </w:rPr>
        <w:t>6</w:t>
      </w:r>
      <w:r>
        <w:t xml:space="preserve">, Min Quality </w:t>
      </w:r>
      <w:r>
        <w:rPr>
          <w:b/>
        </w:rPr>
        <w:t>5</w:t>
      </w:r>
      <w:r>
        <w:t>, sort by Market Cap descending for the largest, most liquid names</w:t>
      </w:r>
    </w:p>
    <w:p>
      <w:r>
        <w:rPr>
          <w:b/>
        </w:rPr>
        <w:t>What you are looking for:</w:t>
      </w:r>
      <w:r>
        <w:t xml:space="preserve"> The "sweet spot" is a sector that has recently generated a BUY signal (not one that has been leading for 12 months and may be due to rotate). Combine with individual stock quality and momentum scores to find the best names within the sector.</w:t>
      </w:r>
    </w:p>
    <w:p>
      <w:pPr>
        <w:pBdr>
          <w:bottom w:val="single" w:sz="6" w:space="1" w:color="CCCCCC"/>
        </w:pBdr>
      </w:pPr>
    </w:p>
    <w:p>
      <w:pPr>
        <w:pStyle w:val="Heading3"/>
      </w:pPr>
      <w:bookmarkStart w:id="56" w:name="mh56"/>
      <w:r>
        <w:t>11.5 The Defensive Screen (Capital Preservation)</w:t>
      </w:r>
      <w:bookmarkEnd w:id="56"/>
    </w:p>
    <w:p>
      <w:r>
        <w:rPr>
          <w:b/>
        </w:rPr>
        <w:t>Suitable for:</w:t>
      </w:r>
      <w:r>
        <w:t xml:space="preserve"> Investors prioritising protecting capital, particularly in uncertain markets.</w:t>
      </w:r>
    </w:p>
    <w:p>
      <w:r>
        <w:rPr>
          <w:b/>
        </w:rPr>
        <w:t>Philosophy:</w:t>
      </w:r>
      <w:r>
        <w:t xml:space="preserve"> When Fear &amp; Greed is in Fear or Extreme Fear territory, focus shifts to capital preservation. Defensive stocks — those in sectors like Consumer Staples, Health Care, and Utilities — tend to hold their value better in downturns because people still buy food, medicines, and pay their utility bills regardless of economic conditions.</w:t>
      </w:r>
    </w:p>
    <w:p>
      <w:r>
        <w:rPr>
          <w:b/>
        </w:rPr>
        <w:t>Steps:</w:t>
      </w:r>
    </w:p>
    <w:p>
      <w:pPr>
        <w:spacing w:after="40"/>
        <w:ind w:left="360"/>
      </w:pPr>
      <w:r>
        <w:t xml:space="preserve">1. </w:t>
      </w:r>
      <w:r>
        <w:t xml:space="preserve">Check the </w:t>
      </w:r>
      <w:r>
        <w:rPr>
          <w:b/>
        </w:rPr>
        <w:t>Fear &amp; Greed Index</w:t>
      </w:r>
      <w:r>
        <w:t xml:space="preserve"> — if score &lt; 40, the defensive screen is most relevant</w:t>
      </w:r>
    </w:p>
    <w:p>
      <w:pPr>
        <w:spacing w:after="40"/>
        <w:ind w:left="360"/>
      </w:pPr>
      <w:r>
        <w:t xml:space="preserve">2. </w:t>
      </w:r>
      <w:r>
        <w:t xml:space="preserve">Go to the Screener, filter by Sector: </w:t>
      </w:r>
      <w:r>
        <w:rPr>
          <w:b/>
        </w:rPr>
        <w:t>Consumer Staples</w:t>
      </w:r>
      <w:r>
        <w:t xml:space="preserve">, </w:t>
      </w:r>
      <w:r>
        <w:rPr>
          <w:b/>
        </w:rPr>
        <w:t>Health Care</w:t>
      </w:r>
      <w:r>
        <w:t xml:space="preserve">, or </w:t>
      </w:r>
      <w:r>
        <w:rPr>
          <w:b/>
        </w:rPr>
        <w:t>Utilities</w:t>
      </w:r>
    </w:p>
    <w:p>
      <w:pPr>
        <w:spacing w:after="40"/>
        <w:ind w:left="360"/>
      </w:pPr>
      <w:r>
        <w:t xml:space="preserve">3. </w:t>
      </w:r>
      <w:r>
        <w:t xml:space="preserve">Set: Max Risk Score </w:t>
      </w:r>
      <w:r>
        <w:rPr>
          <w:b/>
        </w:rPr>
        <w:t>4</w:t>
      </w:r>
      <w:r>
        <w:t xml:space="preserve">, Min Quality Score </w:t>
      </w:r>
      <w:r>
        <w:rPr>
          <w:b/>
        </w:rPr>
        <w:t>6</w:t>
      </w:r>
      <w:r>
        <w:t xml:space="preserve">, Min Piotroski </w:t>
      </w:r>
      <w:r>
        <w:rPr>
          <w:b/>
        </w:rPr>
        <w:t>5</w:t>
      </w:r>
    </w:p>
    <w:p>
      <w:pPr>
        <w:spacing w:after="40"/>
        <w:ind w:left="360"/>
      </w:pPr>
      <w:r>
        <w:t xml:space="preserve">4. </w:t>
      </w:r>
      <w:r>
        <w:t xml:space="preserve">In the </w:t>
      </w:r>
      <w:r>
        <w:rPr>
          <w:b/>
        </w:rPr>
        <w:t>Health tab</w:t>
      </w:r>
      <w:r>
        <w:t>, look for companies with Net Debt negative (cash-rich) or Interest Coverage &gt; 5×</w:t>
      </w:r>
    </w:p>
    <w:p>
      <w:pPr>
        <w:spacing w:after="40"/>
        <w:ind w:left="360"/>
      </w:pPr>
      <w:r>
        <w:t xml:space="preserve">5. </w:t>
      </w:r>
      <w:r>
        <w:t xml:space="preserve">In the </w:t>
      </w:r>
      <w:r>
        <w:rPr>
          <w:b/>
        </w:rPr>
        <w:t>Analysts tab</w:t>
      </w:r>
      <w:r>
        <w:t>, check that consensus is at least Hold (avoid stocks with a Sell consensus in a declining market)</w:t>
      </w:r>
    </w:p>
    <w:p>
      <w:r>
        <w:rPr>
          <w:b/>
        </w:rPr>
        <w:t>What you are looking for:</w:t>
      </w:r>
      <w:r>
        <w:t xml:space="preserve"> High-quality, financially robust companies in defensive sectors. In a bear market, these companies decline less and recover faster — preserving your capital to redeploy when Fear &amp; Greed signals a recovery.</w:t>
      </w:r>
    </w:p>
    <w:p>
      <w:pPr>
        <w:pBdr>
          <w:bottom w:val="single" w:sz="6" w:space="1" w:color="CCCCCC"/>
        </w:pBdr>
      </w:pPr>
    </w:p>
    <w:p>
      <w:pPr>
        <w:pStyle w:val="Heading3"/>
      </w:pPr>
      <w:bookmarkStart w:id="57" w:name="mh57"/>
      <w:r>
        <w:t>11.6 The Catalyst Hunt — RNS-Driven Upside</w:t>
      </w:r>
      <w:bookmarkEnd w:id="57"/>
    </w:p>
    <w:p>
      <w:r>
        <w:rPr>
          <w:b/>
        </w:rPr>
        <w:t>Suitable for:</w:t>
      </w:r>
      <w:r>
        <w:t xml:space="preserve"> Investors who can act on the same day news arrives.</w:t>
      </w:r>
    </w:p>
    <w:p>
      <w:r>
        <w:rPr>
          <w:b/>
        </w:rPr>
        <w:t>Philosophy:</w:t>
      </w:r>
      <w:r>
        <w:t xml:space="preserve"> Most large positive share-price moves happen on a specific day in response to a specific announcement. The RNS News Screener is designed to catch these as they happen, rank them by significance, and tell you which ones the AI sees as bullish opportunities versus risk events.</w:t>
      </w:r>
    </w:p>
    <w:p>
      <w:r>
        <w:rPr>
          <w:b/>
        </w:rPr>
        <w:t>Steps:</w:t>
      </w:r>
    </w:p>
    <w:p>
      <w:pPr>
        <w:spacing w:after="40"/>
        <w:ind w:left="360"/>
      </w:pPr>
      <w:r>
        <w:t xml:space="preserve">1. </w:t>
      </w:r>
      <w:r>
        <w:t xml:space="preserve">Open the </w:t>
      </w:r>
      <w:r>
        <w:rPr>
          <w:b/>
        </w:rPr>
        <w:t>RNS News</w:t>
      </w:r>
      <w:r>
        <w:t xml:space="preserve"> page first thing in the morning UK time (most RNS releases come between 07:00 and 08:00).</w:t>
      </w:r>
    </w:p>
    <w:p>
      <w:pPr>
        <w:spacing w:after="40"/>
        <w:ind w:left="360"/>
      </w:pPr>
      <w:r>
        <w:t xml:space="preserve">2. </w:t>
      </w:r>
      <w:r>
        <w:t xml:space="preserve">Set </w:t>
      </w:r>
      <w:r>
        <w:rPr>
          <w:b/>
        </w:rPr>
        <w:t>Window</w:t>
      </w:r>
      <w:r>
        <w:t xml:space="preserve"> to </w:t>
      </w:r>
      <w:r>
        <w:rPr>
          <w:i/>
        </w:rPr>
        <w:t>24 hours</w:t>
      </w:r>
      <w:r>
        <w:t xml:space="preserve">, </w:t>
      </w:r>
      <w:r>
        <w:rPr>
          <w:b/>
        </w:rPr>
        <w:t>Min score</w:t>
      </w:r>
      <w:r>
        <w:t xml:space="preserve"> to </w:t>
      </w:r>
      <w:r>
        <w:rPr>
          <w:i/>
        </w:rPr>
        <w:t>60 (Tier A+)</w:t>
      </w:r>
      <w:r>
        <w:t xml:space="preserve">, and </w:t>
      </w:r>
      <w:r>
        <w:rPr>
          <w:b/>
        </w:rPr>
        <w:t>Sort: AI score</w:t>
      </w:r>
      <w:r>
        <w:t>.</w:t>
      </w:r>
    </w:p>
    <w:p>
      <w:pPr>
        <w:spacing w:after="40"/>
        <w:ind w:left="360"/>
      </w:pPr>
      <w:r>
        <w:t xml:space="preserve">3. </w:t>
      </w:r>
      <w:r>
        <w:t xml:space="preserve">Look for items with the </w:t>
      </w:r>
      <w:r>
        <w:rPr>
          <w:b/>
        </w:rPr>
        <w:t>BUY</w:t>
      </w:r>
      <w:r>
        <w:t xml:space="preserve"> action pill in green, especially those with an </w:t>
      </w:r>
      <w:r>
        <w:rPr>
          <w:b/>
        </w:rPr>
        <w:t>AI score ≥ 75</w:t>
      </w:r>
      <w:r>
        <w:t>.</w:t>
      </w:r>
    </w:p>
    <w:p>
      <w:pPr>
        <w:spacing w:after="40"/>
        <w:ind w:left="360"/>
      </w:pPr>
      <w:r>
        <w:t xml:space="preserve">4. </w:t>
      </w:r>
      <w:r>
        <w:t>For each candidate, click the ticker to open the company page.</w:t>
      </w:r>
    </w:p>
    <w:p>
      <w:pPr>
        <w:spacing w:after="40"/>
        <w:ind w:left="360"/>
      </w:pPr>
      <w:r>
        <w:t xml:space="preserve">5. </w:t>
      </w:r>
      <w:r>
        <w:t>On the company page, check three things in this order:</w:t>
      </w:r>
    </w:p>
    <w:p>
      <w:pPr>
        <w:spacing w:after="40"/>
        <w:ind w:left="720"/>
      </w:pPr>
      <w:r>
        <w:t xml:space="preserve">– </w:t>
      </w:r>
      <w:r>
        <w:rPr>
          <w:b/>
        </w:rPr>
        <w:t>Quality Score</w:t>
      </w:r>
      <w:r>
        <w:t xml:space="preserve"> ≥ 6 — confirms the underlying business is good</w:t>
      </w:r>
    </w:p>
    <w:p>
      <w:pPr>
        <w:spacing w:after="40"/>
        <w:ind w:left="720"/>
      </w:pPr>
      <w:r>
        <w:t xml:space="preserve">– </w:t>
      </w:r>
      <w:r>
        <w:rPr>
          <w:b/>
        </w:rPr>
        <w:t>Risk Score</w:t>
      </w:r>
      <w:r>
        <w:t xml:space="preserve"> ≤ 6 — confirms you are not chasing a catalyst on a fragile balance sheet</w:t>
      </w:r>
    </w:p>
    <w:p>
      <w:pPr>
        <w:spacing w:after="40"/>
        <w:ind w:left="720"/>
      </w:pPr>
      <w:r>
        <w:t xml:space="preserve">– </w:t>
      </w:r>
      <w:r>
        <w:rPr>
          <w:b/>
        </w:rPr>
        <w:t>Analysts tab</w:t>
      </w:r>
      <w:r>
        <w:t xml:space="preserve"> — confirms this is not a story analysts already see as priced in (look for upside % &gt; 10)</w:t>
      </w:r>
    </w:p>
    <w:p>
      <w:pPr>
        <w:spacing w:after="40"/>
        <w:ind w:left="360"/>
      </w:pPr>
      <w:r>
        <w:t xml:space="preserve">6. </w:t>
      </w:r>
      <w:r>
        <w:t>If all three pass, read the full RNS by clicking the headline — make sure the AI thesis matches what the company actually said.</w:t>
      </w:r>
    </w:p>
    <w:p>
      <w:r>
        <w:rPr>
          <w:b/>
        </w:rPr>
        <w:t>What you are looking for:</w:t>
      </w:r>
      <w:r>
        <w:t xml:space="preserve"> A high-quality, low-risk company with an AI-flagged BUY catalyst that has not yet been fully priced by analysts.</w:t>
      </w:r>
    </w:p>
    <w:p>
      <w:pPr>
        <w:pBdr>
          <w:bottom w:val="single" w:sz="6" w:space="1" w:color="CCCCCC"/>
        </w:pBdr>
      </w:pPr>
    </w:p>
    <w:p>
      <w:pPr>
        <w:pStyle w:val="Heading3"/>
      </w:pPr>
      <w:bookmarkStart w:id="58" w:name="mh58"/>
      <w:r>
        <w:t>11.7 The Cheap-Quality Hunt</w:t>
      </w:r>
      <w:bookmarkEnd w:id="58"/>
    </w:p>
    <w:p>
      <w:r>
        <w:rPr>
          <w:b/>
        </w:rPr>
        <w:t>Suitable for:</w:t>
      </w:r>
      <w:r>
        <w:t xml:space="preserve"> Long-term investors who want to find high-quality businesses at fair-or-better prices.</w:t>
      </w:r>
    </w:p>
    <w:p>
      <w:r>
        <w:rPr>
          <w:b/>
        </w:rPr>
        <w:t>Philosophy:</w:t>
      </w:r>
      <w:r>
        <w:t xml:space="preserve"> Combining a high </w:t>
      </w:r>
      <w:r>
        <w:rPr>
          <w:b/>
        </w:rPr>
        <w:t>Quality Score</w:t>
      </w:r>
      <w:r>
        <w:t xml:space="preserve"> with a low </w:t>
      </w:r>
      <w:r>
        <w:rPr>
          <w:b/>
        </w:rPr>
        <w:t>PEGY</w:t>
      </w:r>
      <w:r>
        <w:t xml:space="preserve"> isolates the "cheap quality" names — Buffett-style "wonderful businesses at a fair price". A high-quality company you are not overpaying for (relative to its growth and income) is the textbook asymmetric-upside setup.</w:t>
      </w:r>
    </w:p>
    <w:p>
      <w:r>
        <w:rPr>
          <w:b/>
        </w:rPr>
        <w:t>Steps:</w:t>
      </w:r>
    </w:p>
    <w:p>
      <w:pPr>
        <w:spacing w:after="40"/>
        <w:ind w:left="360"/>
      </w:pPr>
      <w:r>
        <w:t xml:space="preserve">1. </w:t>
      </w:r>
      <w:r>
        <w:t xml:space="preserve">Go to the </w:t>
      </w:r>
      <w:r>
        <w:rPr>
          <w:b/>
        </w:rPr>
        <w:t>Screener</w:t>
      </w:r>
      <w:r>
        <w:t xml:space="preserve"> (Fundamentals view).</w:t>
      </w:r>
    </w:p>
    <w:p>
      <w:pPr>
        <w:spacing w:after="40"/>
        <w:ind w:left="360"/>
      </w:pPr>
      <w:r>
        <w:t xml:space="preserve">2. </w:t>
      </w:r>
      <w:r>
        <w:t xml:space="preserve">Filter to </w:t>
      </w:r>
      <w:r>
        <w:rPr>
          <w:b/>
        </w:rPr>
        <w:t>FTSE 350</w:t>
      </w:r>
      <w:r>
        <w:t xml:space="preserve"> (the largest 350 companies — best liquidity).</w:t>
      </w:r>
    </w:p>
    <w:p>
      <w:pPr>
        <w:spacing w:after="40"/>
        <w:ind w:left="360"/>
      </w:pPr>
      <w:r>
        <w:t xml:space="preserve">3. </w:t>
      </w:r>
      <w:r>
        <w:t xml:space="preserve">Set </w:t>
      </w:r>
      <w:r>
        <w:rPr>
          <w:b/>
        </w:rPr>
        <w:t>Min Quality: 7</w:t>
      </w:r>
      <w:r>
        <w:t xml:space="preserve"> and </w:t>
      </w:r>
      <w:r>
        <w:rPr>
          <w:b/>
        </w:rPr>
        <w:t>Max PEGY: 1.5</w:t>
      </w:r>
      <w:r>
        <w:t xml:space="preserve"> (cheap-or-fair for the growth on offer).</w:t>
      </w:r>
    </w:p>
    <w:p>
      <w:pPr>
        <w:spacing w:after="40"/>
        <w:ind w:left="360"/>
      </w:pPr>
      <w:r>
        <w:t xml:space="preserve">4. </w:t>
      </w:r>
      <w:r>
        <w:rPr>
          <w:b/>
        </w:rPr>
        <w:t>Sort by the PEGY column ascending</w:t>
      </w:r>
      <w:r>
        <w:t xml:space="preserve"> to bring the cheapest high-quality names to the top. (Remember a blank PEGY means earnings are flat/shrinking or there isn't enough data — focus on the names with a real, low figure.)</w:t>
      </w:r>
    </w:p>
    <w:p>
      <w:pPr>
        <w:spacing w:after="40"/>
        <w:ind w:left="360"/>
      </w:pPr>
      <w:r>
        <w:t xml:space="preserve">5. </w:t>
      </w:r>
      <w:r>
        <w:t>Click each candidate to open the company; on the detail page, run the standard checks:</w:t>
      </w:r>
    </w:p>
    <w:p>
      <w:pPr>
        <w:spacing w:after="40"/>
        <w:ind w:left="720"/>
      </w:pPr>
      <w:r>
        <w:t xml:space="preserve">– </w:t>
      </w:r>
      <w:r>
        <w:t>Health tab: Is the balance sheet healthy?</w:t>
      </w:r>
    </w:p>
    <w:p>
      <w:pPr>
        <w:spacing w:after="40"/>
        <w:ind w:left="720"/>
      </w:pPr>
      <w:r>
        <w:t xml:space="preserve">– </w:t>
      </w:r>
      <w:r>
        <w:t>Growth tab: Are revenue, profit, and FCF all growing?</w:t>
      </w:r>
    </w:p>
    <w:p>
      <w:pPr>
        <w:spacing w:after="40"/>
        <w:ind w:left="720"/>
      </w:pPr>
      <w:r>
        <w:t xml:space="preserve">– </w:t>
      </w:r>
      <w:r>
        <w:t>Analysts tab: Does professional consensus agree it is undervalued?</w:t>
      </w:r>
    </w:p>
    <w:p>
      <w:pPr>
        <w:spacing w:after="40"/>
        <w:ind w:left="720"/>
      </w:pPr>
      <w:r>
        <w:t xml:space="preserve">– </w:t>
      </w:r>
      <w:r>
        <w:t>Company News tab: Have there been any recent negative catalysts that explain why it is cheap?</w:t>
      </w:r>
    </w:p>
    <w:p>
      <w:pPr>
        <w:spacing w:after="40"/>
        <w:ind w:left="360"/>
      </w:pPr>
      <w:r>
        <w:t xml:space="preserve">6. </w:t>
      </w:r>
      <w:r>
        <w:t xml:space="preserve">Back in the Screener, cross-check the </w:t>
      </w:r>
      <w:r>
        <w:rPr>
          <w:b/>
        </w:rPr>
        <w:t>Momentum</w:t>
      </w:r>
      <w:r>
        <w:t xml:space="preserve"> and </w:t>
      </w:r>
      <w:r>
        <w:rPr>
          <w:b/>
        </w:rPr>
        <w:t>Risk</w:t>
      </w:r>
      <w:r>
        <w:t xml:space="preserve"> columns. A cheap-quality name that is </w:t>
      </w:r>
      <w:r>
        <w:rPr>
          <w:i/>
        </w:rPr>
        <w:t>also</w:t>
      </w:r>
      <w:r>
        <w:t xml:space="preserve"> trending up with a low Risk Score is a rare and powerful setup.</w:t>
      </w:r>
    </w:p>
    <w:p>
      <w:r>
        <w:rPr>
          <w:b/>
        </w:rPr>
        <w:t>What you are looking for:</w:t>
      </w:r>
      <w:r>
        <w:t xml:space="preserve"> Companies with Quality ≥ 7 and a low PEGY that </w:t>
      </w:r>
      <w:r>
        <w:rPr>
          <w:i/>
        </w:rPr>
        <w:t>also</w:t>
      </w:r>
      <w:r>
        <w:t xml:space="preserve"> clear a momentum and risk check — the rare intersection of "good business, fairly priced, currently trending up, low risk".</w:t>
      </w:r>
    </w:p>
    <w:p>
      <w:pPr>
        <w:pBdr>
          <w:bottom w:val="single" w:sz="6" w:space="1" w:color="CCCCCC"/>
        </w:pBdr>
      </w:pPr>
    </w:p>
    <w:p>
      <w:pPr>
        <w:pStyle w:val="Heading3"/>
      </w:pPr>
      <w:bookmarkStart w:id="59" w:name="mh59"/>
      <w:r>
        <w:t>11.8 The Combined "Maximum Upside / Minimum Downside" Workflow</w:t>
      </w:r>
      <w:bookmarkEnd w:id="59"/>
    </w:p>
    <w:p>
      <w:r>
        <w:rPr>
          <w:b/>
        </w:rPr>
        <w:t>Suitable for:</w:t>
      </w:r>
      <w:r>
        <w:t xml:space="preserve"> Any investor who wants a systematic way to assemble a high-conviction shortlist.</w:t>
      </w:r>
    </w:p>
    <w:p>
      <w:r>
        <w:rPr>
          <w:b/>
        </w:rPr>
        <w:t>Philosophy:</w:t>
      </w:r>
      <w:r>
        <w:t xml:space="preserve"> No single signal is reliable on its own. The strongest investment cases stack multiple independent signals — quality, value, momentum, professional consensus, and a recent catalyst — that all point the same way. When five independent things all say "buy", the probability of being wrong falls dramatically; this is how you maximise upside while minimising downside.</w:t>
      </w:r>
    </w:p>
    <w:p>
      <w:r>
        <w:rPr>
          <w:b/>
        </w:rPr>
        <w:t>Step-by-step — the full workflow:</w:t>
      </w:r>
    </w:p>
    <w:p>
      <w:pPr>
        <w:spacing w:after="40"/>
        <w:ind w:left="360"/>
      </w:pPr>
      <w:r>
        <w:t xml:space="preserve">1. </w:t>
      </w:r>
      <w:r>
        <w:rPr>
          <w:b/>
        </w:rPr>
        <w:t>Check the macro backdrop first</w:t>
      </w:r>
      <w:r>
        <w:t xml:space="preserve"> </w:t>
      </w:r>
      <w:r>
        <w:rPr>
          <w:i/>
        </w:rPr>
        <w:t>(Sidebar + Markets)</w:t>
      </w:r>
    </w:p>
    <w:p>
      <w:pPr>
        <w:spacing w:after="40"/>
        <w:ind w:left="720"/>
      </w:pPr>
      <w:r>
        <w:t xml:space="preserve">– </w:t>
      </w:r>
      <w:r>
        <w:t xml:space="preserve">Open the sidebar. Note the </w:t>
      </w:r>
      <w:r>
        <w:rPr>
          <w:b/>
        </w:rPr>
        <w:t>UK Fear &amp; Greed</w:t>
      </w:r>
      <w:r>
        <w:t xml:space="preserve"> score.</w:t>
      </w:r>
    </w:p>
    <w:p>
      <w:pPr>
        <w:spacing w:after="40"/>
        <w:ind w:left="1080"/>
      </w:pPr>
      <w:r>
        <w:t xml:space="preserve">– </w:t>
      </w:r>
      <w:r>
        <w:t>25–55 (Fear / Neutral): excellent time to be hunting — assets often mispriced</w:t>
      </w:r>
    </w:p>
    <w:p>
      <w:pPr>
        <w:spacing w:after="40"/>
        <w:ind w:left="1080"/>
      </w:pPr>
      <w:r>
        <w:t xml:space="preserve">– </w:t>
      </w:r>
      <w:r>
        <w:t>55–75 (Greed): hunt selectively — focus on lagging quality names</w:t>
      </w:r>
    </w:p>
    <w:p>
      <w:pPr>
        <w:spacing w:after="40"/>
        <w:ind w:left="1080"/>
      </w:pPr>
      <w:r>
        <w:t xml:space="preserve">– </w:t>
      </w:r>
      <w:r>
        <w:t>75+ (Extreme Greed): be defensive — see Workflow 11.5 instead</w:t>
      </w:r>
    </w:p>
    <w:p>
      <w:pPr>
        <w:spacing w:after="40"/>
        <w:ind w:left="720"/>
      </w:pPr>
      <w:r>
        <w:t xml:space="preserve">– </w:t>
      </w:r>
      <w:r>
        <w:t xml:space="preserve">Check the </w:t>
      </w:r>
      <w:r>
        <w:rPr>
          <w:b/>
        </w:rPr>
        <w:t>Top RS Sector</w:t>
      </w:r>
      <w:r>
        <w:t xml:space="preserve"> and </w:t>
      </w:r>
      <w:r>
        <w:rPr>
          <w:b/>
        </w:rPr>
        <w:t>Market Breadth</w:t>
      </w:r>
      <w:r>
        <w:t xml:space="preserve"> in the sidebar for a read on where leadership sits.</w:t>
      </w:r>
    </w:p>
    <w:p>
      <w:pPr>
        <w:spacing w:after="40"/>
        <w:ind w:left="360"/>
      </w:pPr>
      <w:r>
        <w:t xml:space="preserve">2. </w:t>
      </w:r>
      <w:r>
        <w:rPr>
          <w:b/>
        </w:rPr>
        <w:t>Pick your sector battlefield</w:t>
      </w:r>
      <w:r>
        <w:t xml:space="preserve"> </w:t>
      </w:r>
      <w:r>
        <w:rPr>
          <w:i/>
        </w:rPr>
        <w:t>(Sector Rotation)</w:t>
      </w:r>
    </w:p>
    <w:p>
      <w:pPr>
        <w:spacing w:after="40"/>
        <w:ind w:left="720"/>
      </w:pPr>
      <w:r>
        <w:t xml:space="preserve">– </w:t>
      </w:r>
      <w:r>
        <w:t xml:space="preserve">Go to </w:t>
      </w:r>
      <w:r>
        <w:rPr>
          <w:b/>
        </w:rPr>
        <w:t>Markets → Rotation</w:t>
      </w:r>
      <w:r>
        <w:t>. Note the top 3 sectors with the highest RS Score and rising trend.</w:t>
      </w:r>
    </w:p>
    <w:p>
      <w:pPr>
        <w:spacing w:after="40"/>
        <w:ind w:left="720"/>
      </w:pPr>
      <w:r>
        <w:t xml:space="preserve">– </w:t>
      </w:r>
      <w:r>
        <w:t>Avoid sectors with RS &lt; 0.95 (declining leadership).</w:t>
      </w:r>
    </w:p>
    <w:p>
      <w:pPr>
        <w:spacing w:after="40"/>
        <w:ind w:left="360"/>
      </w:pPr>
      <w:r>
        <w:t xml:space="preserve">3. </w:t>
      </w:r>
      <w:r>
        <w:rPr>
          <w:b/>
        </w:rPr>
        <w:t>Narrow the universe</w:t>
      </w:r>
      <w:r>
        <w:t xml:space="preserve"> </w:t>
      </w:r>
      <w:r>
        <w:rPr>
          <w:i/>
        </w:rPr>
        <w:t>(Screener)</w:t>
      </w:r>
    </w:p>
    <w:p>
      <w:pPr>
        <w:spacing w:after="40"/>
        <w:ind w:left="720"/>
      </w:pPr>
      <w:r>
        <w:t xml:space="preserve">– </w:t>
      </w:r>
      <w:r>
        <w:t>In the Screener, set: FTSE 350, leading sectors only.</w:t>
      </w:r>
    </w:p>
    <w:p>
      <w:pPr>
        <w:spacing w:after="40"/>
        <w:ind w:left="720"/>
      </w:pPr>
      <w:r>
        <w:t xml:space="preserve">– </w:t>
      </w:r>
      <w:r>
        <w:t xml:space="preserve">Apply the </w:t>
      </w:r>
      <w:r>
        <w:rPr>
          <w:i/>
        </w:rPr>
        <w:t>quality + value + safety</w:t>
      </w:r>
      <w:r>
        <w:t xml:space="preserve"> filters:</w:t>
      </w:r>
    </w:p>
    <w:p>
      <w:pPr>
        <w:spacing w:after="40"/>
        <w:ind w:left="1080"/>
      </w:pPr>
      <w:r>
        <w:t xml:space="preserve">– </w:t>
      </w:r>
      <w:r>
        <w:t>Min Quality ≥ 7</w:t>
      </w:r>
    </w:p>
    <w:p>
      <w:pPr>
        <w:spacing w:after="40"/>
        <w:ind w:left="1080"/>
      </w:pPr>
      <w:r>
        <w:t xml:space="preserve">– </w:t>
      </w:r>
      <w:r>
        <w:t>Min Piotroski ≥ 6</w:t>
      </w:r>
    </w:p>
    <w:p>
      <w:pPr>
        <w:spacing w:after="40"/>
        <w:ind w:left="1080"/>
      </w:pPr>
      <w:r>
        <w:t xml:space="preserve">– </w:t>
      </w:r>
      <w:r>
        <w:t>Max Risk ≤ 5</w:t>
      </w:r>
    </w:p>
    <w:p>
      <w:pPr>
        <w:spacing w:after="40"/>
        <w:ind w:left="1080"/>
      </w:pPr>
      <w:r>
        <w:t xml:space="preserve">– </w:t>
      </w:r>
      <w:r>
        <w:t>Min Momentum ≥ 6</w:t>
      </w:r>
    </w:p>
    <w:p>
      <w:pPr>
        <w:spacing w:after="40"/>
        <w:ind w:left="1080"/>
      </w:pPr>
      <w:r>
        <w:t xml:space="preserve">– </w:t>
      </w:r>
      <w:r>
        <w:t>Min Upside % ≥ 10 (Analyst View)</w:t>
      </w:r>
    </w:p>
    <w:p>
      <w:pPr>
        <w:spacing w:after="40"/>
        <w:ind w:left="1080"/>
      </w:pPr>
      <w:r>
        <w:t xml:space="preserve">– </w:t>
      </w:r>
      <w:r>
        <w:t>Consensus = Buy</w:t>
      </w:r>
    </w:p>
    <w:p>
      <w:pPr>
        <w:spacing w:after="40"/>
        <w:ind w:left="720"/>
      </w:pPr>
      <w:r>
        <w:t xml:space="preserve">– </w:t>
      </w:r>
      <w:r>
        <w:t xml:space="preserve">Sort by </w:t>
      </w:r>
      <w:r>
        <w:rPr>
          <w:b/>
        </w:rPr>
        <w:t>Quality Score</w:t>
      </w:r>
      <w:r>
        <w:t xml:space="preserve"> descending. You should now have 5–25 names.</w:t>
      </w:r>
    </w:p>
    <w:p>
      <w:pPr>
        <w:spacing w:after="40"/>
        <w:ind w:left="360"/>
      </w:pPr>
      <w:r>
        <w:t xml:space="preserve">4. </w:t>
      </w:r>
      <w:r>
        <w:rPr>
          <w:b/>
        </w:rPr>
        <w:t>Value cross-check</w:t>
      </w:r>
      <w:r>
        <w:t xml:space="preserve"> </w:t>
      </w:r>
      <w:r>
        <w:rPr>
          <w:i/>
        </w:rPr>
        <w:t>(Screener — PEGY column)</w:t>
      </w:r>
    </w:p>
    <w:p>
      <w:pPr>
        <w:spacing w:after="40"/>
        <w:ind w:left="720"/>
      </w:pPr>
      <w:r>
        <w:t xml:space="preserve">– </w:t>
      </w:r>
      <w:r>
        <w:t xml:space="preserve">Add </w:t>
      </w:r>
      <w:r>
        <w:rPr>
          <w:b/>
        </w:rPr>
        <w:t>Max PEGY: 1.5</w:t>
      </w:r>
      <w:r>
        <w:t xml:space="preserve"> to the filters (or sort by the PEGY column ascending). Drop any names that are expensive for the growth and income they offer.</w:t>
      </w:r>
    </w:p>
    <w:p>
      <w:pPr>
        <w:spacing w:after="40"/>
        <w:ind w:left="720"/>
      </w:pPr>
      <w:r>
        <w:t xml:space="preserve">– </w:t>
      </w:r>
      <w:r>
        <w:t>Confirm survivors also clear momentum and risk using the Screener's Momentum and Risk columns.</w:t>
      </w:r>
    </w:p>
    <w:p>
      <w:pPr>
        <w:spacing w:after="40"/>
        <w:ind w:left="360"/>
      </w:pPr>
      <w:r>
        <w:t xml:space="preserve">5. </w:t>
      </w:r>
      <w:r>
        <w:rPr>
          <w:b/>
        </w:rPr>
        <w:t>Catalyst check</w:t>
      </w:r>
      <w:r>
        <w:t xml:space="preserve"> </w:t>
      </w:r>
      <w:r>
        <w:rPr>
          <w:i/>
        </w:rPr>
        <w:t>(RNS News + Company News tab)</w:t>
      </w:r>
    </w:p>
    <w:p>
      <w:pPr>
        <w:spacing w:after="40"/>
        <w:ind w:left="720"/>
      </w:pPr>
      <w:r>
        <w:t xml:space="preserve">– </w:t>
      </w:r>
      <w:r>
        <w:t xml:space="preserve">For each survivor, open the company page → </w:t>
      </w:r>
      <w:r>
        <w:rPr>
          <w:b/>
        </w:rPr>
        <w:t>News tab</w:t>
      </w:r>
      <w:r>
        <w:t>.</w:t>
      </w:r>
    </w:p>
    <w:p>
      <w:pPr>
        <w:spacing w:after="40"/>
        <w:ind w:left="720"/>
      </w:pPr>
      <w:r>
        <w:t xml:space="preserve">– </w:t>
      </w:r>
      <w:r>
        <w:t xml:space="preserve">Press </w:t>
      </w:r>
      <w:r>
        <w:rPr>
          <w:b/>
        </w:rPr>
        <w:t>✦ Generate AI summary</w:t>
      </w:r>
      <w:r>
        <w:t>. Read it.</w:t>
      </w:r>
    </w:p>
    <w:p>
      <w:pPr>
        <w:spacing w:after="40"/>
        <w:ind w:left="720"/>
      </w:pPr>
      <w:r>
        <w:t xml:space="preserve">– </w:t>
      </w:r>
      <w:r>
        <w:t>Look at the recent RNS. Are there:</w:t>
      </w:r>
    </w:p>
    <w:p>
      <w:pPr>
        <w:spacing w:after="40"/>
        <w:ind w:left="1080"/>
      </w:pPr>
      <w:r>
        <w:t xml:space="preserve">– </w:t>
      </w:r>
      <w:r>
        <w:t>Positive Tier A or B items in the past 30 days? (BULLISH stack)</w:t>
      </w:r>
    </w:p>
    <w:p>
      <w:pPr>
        <w:spacing w:after="40"/>
        <w:ind w:left="1080"/>
      </w:pPr>
      <w:r>
        <w:t xml:space="preserve">– </w:t>
      </w:r>
      <w:r>
        <w:t>Negative profit warnings or going-concern flags? (DROP IT)</w:t>
      </w:r>
    </w:p>
    <w:p>
      <w:pPr>
        <w:spacing w:after="40"/>
        <w:ind w:left="1080"/>
      </w:pPr>
      <w:r>
        <w:t xml:space="preserve">– </w:t>
      </w:r>
      <w:r>
        <w:t>Nothing material recently? (NEUTRAL — fine; pure quality + momentum case)</w:t>
      </w:r>
    </w:p>
    <w:p>
      <w:pPr>
        <w:spacing w:after="40"/>
        <w:ind w:left="360"/>
      </w:pPr>
      <w:r>
        <w:t xml:space="preserve">6. </w:t>
      </w:r>
      <w:r>
        <w:rPr>
          <w:b/>
        </w:rPr>
        <w:t>Final downside checks</w:t>
      </w:r>
      <w:r>
        <w:t xml:space="preserve"> </w:t>
      </w:r>
      <w:r>
        <w:rPr>
          <w:i/>
        </w:rPr>
        <w:t>(Company Detail tabs)</w:t>
      </w:r>
    </w:p>
    <w:p>
      <w:pPr>
        <w:spacing w:after="40"/>
        <w:ind w:left="720"/>
      </w:pPr>
      <w:r>
        <w:t xml:space="preserve">– </w:t>
      </w:r>
      <w:r>
        <w:rPr>
          <w:b/>
        </w:rPr>
        <w:t>Health tab:</w:t>
      </w:r>
      <w:r>
        <w:t xml:space="preserve"> Net Debt should be manageable (under 3× EBITDA), Current Ratio &gt; 1, no Z-Score in distress zone.</w:t>
      </w:r>
    </w:p>
    <w:p>
      <w:pPr>
        <w:spacing w:after="40"/>
        <w:ind w:left="720"/>
      </w:pPr>
      <w:r>
        <w:t xml:space="preserve">– </w:t>
      </w:r>
      <w:r>
        <w:rPr>
          <w:b/>
        </w:rPr>
        <w:t>Valuation tab:</w:t>
      </w:r>
      <w:r>
        <w:t xml:space="preserve"> P/E should be in line with or below the sector. EV/EBITDA below 12.</w:t>
      </w:r>
    </w:p>
    <w:p>
      <w:pPr>
        <w:spacing w:after="40"/>
        <w:ind w:left="720"/>
      </w:pPr>
      <w:r>
        <w:t xml:space="preserve">– </w:t>
      </w:r>
      <w:r>
        <w:rPr>
          <w:b/>
        </w:rPr>
        <w:t>Growth tab:</w:t>
      </w:r>
      <w:r>
        <w:t xml:space="preserve"> Revenue, EPS, and FCF all rising over 3+ years.</w:t>
      </w:r>
    </w:p>
    <w:p>
      <w:pPr>
        <w:spacing w:after="40"/>
        <w:ind w:left="720"/>
      </w:pPr>
      <w:r>
        <w:t xml:space="preserve">– </w:t>
      </w:r>
      <w:r>
        <w:rPr>
          <w:b/>
        </w:rPr>
        <w:t>Analysts tab:</w:t>
      </w:r>
      <w:r>
        <w:t xml:space="preserve"> Confirm Rev Score is positive — analysts are still raising forecasts.</w:t>
      </w:r>
    </w:p>
    <w:p>
      <w:pPr>
        <w:spacing w:after="40"/>
        <w:ind w:left="360"/>
      </w:pPr>
      <w:r>
        <w:t xml:space="preserve">7. </w:t>
      </w:r>
      <w:r>
        <w:rPr>
          <w:b/>
        </w:rPr>
        <w:t>Save and monitor</w:t>
      </w:r>
      <w:r>
        <w:t xml:space="preserve"> </w:t>
      </w:r>
      <w:r>
        <w:rPr>
          <w:i/>
        </w:rPr>
        <w:t>(Watchlist)</w:t>
      </w:r>
    </w:p>
    <w:p>
      <w:pPr>
        <w:spacing w:after="40"/>
        <w:ind w:left="720"/>
      </w:pPr>
      <w:r>
        <w:t xml:space="preserve">– </w:t>
      </w:r>
      <w:r>
        <w:t xml:space="preserve">Star the survivors using the ★ icon in the screener — they go to your </w:t>
      </w:r>
      <w:r>
        <w:rPr>
          <w:b/>
        </w:rPr>
        <w:t>Watchlist</w:t>
      </w:r>
      <w:r>
        <w:t xml:space="preserve"> for daily review.</w:t>
      </w:r>
    </w:p>
    <w:p>
      <w:pPr>
        <w:spacing w:after="40"/>
        <w:ind w:left="720"/>
      </w:pPr>
      <w:r>
        <w:t xml:space="preserve">– </w:t>
      </w:r>
      <w:r>
        <w:t>Re-run the macro check (step 1) before each buy decision; even a great company is the wrong purchase in a panicked market.</w:t>
      </w:r>
    </w:p>
    <w:p>
      <w:r>
        <w:rPr>
          <w:b/>
        </w:rPr>
        <w:t>The signals that should all be GREEN before you buy:</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7ECF3"/>
          </w:tcPr>
          <w:p>
            <w:r>
              <w:rPr>
                <w:b/>
              </w:rPr>
            </w:r>
            <w:r>
              <w:rPr>
                <w:b/>
              </w:rPr>
            </w:r>
            <w:r>
              <w:rPr>
                <w:b/>
              </w:rPr>
              <w:t>Signal</w:t>
            </w:r>
          </w:p>
        </w:tc>
        <w:tc>
          <w:tcPr>
            <w:tcW w:type="dxa" w:w="2880"/>
            <w:shd w:val="clear" w:color="auto" w:fill="E7ECF3"/>
          </w:tcPr>
          <w:p>
            <w:r>
              <w:rPr>
                <w:b/>
              </w:rPr>
            </w:r>
            <w:r>
              <w:rPr>
                <w:b/>
              </w:rPr>
            </w:r>
            <w:r>
              <w:rPr>
                <w:b/>
              </w:rPr>
              <w:t>Source</w:t>
            </w:r>
          </w:p>
        </w:tc>
        <w:tc>
          <w:tcPr>
            <w:tcW w:type="dxa" w:w="2880"/>
            <w:shd w:val="clear" w:color="auto" w:fill="E7ECF3"/>
          </w:tcPr>
          <w:p>
            <w:r>
              <w:rPr>
                <w:b/>
              </w:rPr>
            </w:r>
            <w:r>
              <w:rPr>
                <w:b/>
              </w:rPr>
            </w:r>
            <w:r>
              <w:rPr>
                <w:b/>
              </w:rPr>
              <w:t>Threshold for "GREEN"</w:t>
            </w:r>
          </w:p>
        </w:tc>
      </w:tr>
      <w:tr>
        <w:tc>
          <w:tcPr>
            <w:tcW w:type="dxa" w:w="2880"/>
          </w:tcPr>
          <w:p>
            <w:r/>
            <w:r>
              <w:t>Macro backdrop</w:t>
            </w:r>
          </w:p>
        </w:tc>
        <w:tc>
          <w:tcPr>
            <w:tcW w:type="dxa" w:w="2880"/>
          </w:tcPr>
          <w:p>
            <w:r/>
            <w:r>
              <w:t>Sidebar Fear &amp; Greed</w:t>
            </w:r>
          </w:p>
        </w:tc>
        <w:tc>
          <w:tcPr>
            <w:tcW w:type="dxa" w:w="2880"/>
          </w:tcPr>
          <w:p>
            <w:r/>
            <w:r>
              <w:t>&lt; 75</w:t>
            </w:r>
          </w:p>
        </w:tc>
      </w:tr>
      <w:tr>
        <w:tc>
          <w:tcPr>
            <w:tcW w:type="dxa" w:w="2880"/>
          </w:tcPr>
          <w:p>
            <w:r/>
            <w:r>
              <w:t>Sector leadership</w:t>
            </w:r>
          </w:p>
        </w:tc>
        <w:tc>
          <w:tcPr>
            <w:tcW w:type="dxa" w:w="2880"/>
          </w:tcPr>
          <w:p>
            <w:r/>
            <w:r>
              <w:t>Rotation page</w:t>
            </w:r>
          </w:p>
        </w:tc>
        <w:tc>
          <w:tcPr>
            <w:tcW w:type="dxa" w:w="2880"/>
          </w:tcPr>
          <w:p>
            <w:r/>
            <w:r>
              <w:t>Sector RS &gt; 1.05</w:t>
            </w:r>
          </w:p>
        </w:tc>
      </w:tr>
      <w:tr>
        <w:tc>
          <w:tcPr>
            <w:tcW w:type="dxa" w:w="2880"/>
          </w:tcPr>
          <w:p>
            <w:r/>
            <w:r>
              <w:t>Business quality</w:t>
            </w:r>
          </w:p>
        </w:tc>
        <w:tc>
          <w:tcPr>
            <w:tcW w:type="dxa" w:w="2880"/>
          </w:tcPr>
          <w:p>
            <w:r/>
            <w:r>
              <w:t>Screener</w:t>
            </w:r>
          </w:p>
        </w:tc>
        <w:tc>
          <w:tcPr>
            <w:tcW w:type="dxa" w:w="2880"/>
          </w:tcPr>
          <w:p>
            <w:r/>
            <w:r>
              <w:t>Quality ≥ 7, Piotroski ≥ 6</w:t>
            </w:r>
          </w:p>
        </w:tc>
      </w:tr>
      <w:tr>
        <w:tc>
          <w:tcPr>
            <w:tcW w:type="dxa" w:w="2880"/>
          </w:tcPr>
          <w:p>
            <w:r/>
            <w:r>
              <w:t>Valuation</w:t>
            </w:r>
          </w:p>
        </w:tc>
        <w:tc>
          <w:tcPr>
            <w:tcW w:type="dxa" w:w="2880"/>
          </w:tcPr>
          <w:p>
            <w:r/>
            <w:r>
              <w:t>Screener</w:t>
            </w:r>
          </w:p>
        </w:tc>
        <w:tc>
          <w:tcPr>
            <w:tcW w:type="dxa" w:w="2880"/>
          </w:tcPr>
          <w:p>
            <w:r/>
            <w:r>
              <w:t>PEGY ≤ 1.5, P/E sector-comparable</w:t>
            </w:r>
          </w:p>
        </w:tc>
      </w:tr>
      <w:tr>
        <w:tc>
          <w:tcPr>
            <w:tcW w:type="dxa" w:w="2880"/>
          </w:tcPr>
          <w:p>
            <w:r/>
            <w:r>
              <w:t>Trend</w:t>
            </w:r>
          </w:p>
        </w:tc>
        <w:tc>
          <w:tcPr>
            <w:tcW w:type="dxa" w:w="2880"/>
          </w:tcPr>
          <w:p>
            <w:r/>
            <w:r>
              <w:t>Screener / Chart</w:t>
            </w:r>
          </w:p>
        </w:tc>
        <w:tc>
          <w:tcPr>
            <w:tcW w:type="dxa" w:w="2880"/>
          </w:tcPr>
          <w:p>
            <w:r/>
            <w:r>
              <w:t>Momentum ≥ 6, price above MA50</w:t>
            </w:r>
          </w:p>
        </w:tc>
      </w:tr>
      <w:tr>
        <w:tc>
          <w:tcPr>
            <w:tcW w:type="dxa" w:w="2880"/>
          </w:tcPr>
          <w:p>
            <w:r/>
            <w:r>
              <w:t>Safety</w:t>
            </w:r>
          </w:p>
        </w:tc>
        <w:tc>
          <w:tcPr>
            <w:tcW w:type="dxa" w:w="2880"/>
          </w:tcPr>
          <w:p>
            <w:r/>
            <w:r>
              <w:t>Screener / Health tab</w:t>
            </w:r>
          </w:p>
        </w:tc>
        <w:tc>
          <w:tcPr>
            <w:tcW w:type="dxa" w:w="2880"/>
          </w:tcPr>
          <w:p>
            <w:r/>
            <w:r>
              <w:t>Risk ≤ 5, Net Debt manageable</w:t>
            </w:r>
          </w:p>
        </w:tc>
      </w:tr>
      <w:tr>
        <w:tc>
          <w:tcPr>
            <w:tcW w:type="dxa" w:w="2880"/>
          </w:tcPr>
          <w:p>
            <w:r/>
            <w:r>
              <w:t>Professional view</w:t>
            </w:r>
          </w:p>
        </w:tc>
        <w:tc>
          <w:tcPr>
            <w:tcW w:type="dxa" w:w="2880"/>
          </w:tcPr>
          <w:p>
            <w:r/>
            <w:r>
              <w:t>Analyst Monitor</w:t>
            </w:r>
          </w:p>
        </w:tc>
        <w:tc>
          <w:tcPr>
            <w:tcW w:type="dxa" w:w="2880"/>
          </w:tcPr>
          <w:p>
            <w:r/>
            <w:r>
              <w:t>Buy consensus, Upside ≥ 10%, Rev Score &gt; 0</w:t>
            </w:r>
          </w:p>
        </w:tc>
      </w:tr>
      <w:tr>
        <w:tc>
          <w:tcPr>
            <w:tcW w:type="dxa" w:w="2880"/>
          </w:tcPr>
          <w:p>
            <w:r/>
            <w:r>
              <w:t>Catalysts</w:t>
            </w:r>
          </w:p>
        </w:tc>
        <w:tc>
          <w:tcPr>
            <w:tcW w:type="dxa" w:w="2880"/>
          </w:tcPr>
          <w:p>
            <w:r/>
            <w:r>
              <w:t>RNS News, Company News</w:t>
            </w:r>
          </w:p>
        </w:tc>
        <w:tc>
          <w:tcPr>
            <w:tcW w:type="dxa" w:w="2880"/>
          </w:tcPr>
          <w:p>
            <w:r/>
            <w:r>
              <w:t>No negative Tier A in 30 days; ideally a recent positive one</w:t>
            </w:r>
          </w:p>
        </w:tc>
      </w:tr>
      <w:tr>
        <w:tc>
          <w:tcPr>
            <w:tcW w:type="dxa" w:w="2880"/>
          </w:tcPr>
          <w:p>
            <w:r/>
            <w:r>
              <w:t>Value confirmation</w:t>
            </w:r>
          </w:p>
        </w:tc>
        <w:tc>
          <w:tcPr>
            <w:tcW w:type="dxa" w:w="2880"/>
          </w:tcPr>
          <w:p>
            <w:r/>
            <w:r>
              <w:t>Screener PEGY column</w:t>
            </w:r>
          </w:p>
        </w:tc>
        <w:tc>
          <w:tcPr>
            <w:tcW w:type="dxa" w:w="2880"/>
          </w:tcPr>
          <w:p>
            <w:r/>
            <w:r>
              <w:t>PEGY ≤ 1.5 (cheap-or-fair for the growth)</w:t>
            </w:r>
          </w:p>
        </w:tc>
      </w:tr>
    </w:tbl>
    <w:p>
      <w:r>
        <w:t>When eight or nine of these are green for a single name, you have a high-conviction, asymmetric-risk setup. When fewer than five are green, walk away — there will be better opportunities.</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What you are looking for:</w:t>
            </w:r>
            <w:r>
              <w:t xml:space="preserve"> A small portfolio (5–15 names) of stocks that pass this test. Trim positions when signals turn red — especially when negative RNS catalysts arrive — and rebuild the screen monthly.</w:t>
            </w:r>
          </w:p>
        </w:tc>
      </w:tr>
    </w:tbl>
    <w:p>
      <w:pPr>
        <w:pBdr>
          <w:bottom w:val="single" w:sz="6" w:space="1" w:color="CCCCCC"/>
        </w:pBdr>
      </w:pPr>
    </w:p>
    <w:p>
      <w:pPr>
        <w:pStyle w:val="Heading2"/>
      </w:pPr>
      <w:bookmarkStart w:id="60" w:name="mh60"/>
      <w:r>
        <w:t>12. Glossary of Financial Terms</w:t>
      </w:r>
      <w:bookmarkEnd w:id="60"/>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Term</w:t>
            </w:r>
          </w:p>
        </w:tc>
        <w:tc>
          <w:tcPr>
            <w:tcW w:type="dxa" w:w="4320"/>
            <w:shd w:val="clear" w:color="auto" w:fill="E7ECF3"/>
          </w:tcPr>
          <w:p>
            <w:r>
              <w:rPr>
                <w:b/>
              </w:rPr>
            </w:r>
            <w:r>
              <w:rPr>
                <w:b/>
              </w:rPr>
            </w:r>
            <w:r>
              <w:rPr>
                <w:b/>
              </w:rPr>
              <w:t>Definition</w:t>
            </w:r>
          </w:p>
        </w:tc>
      </w:tr>
      <w:tr>
        <w:tc>
          <w:tcPr>
            <w:tcW w:type="dxa" w:w="4320"/>
          </w:tcPr>
          <w:p>
            <w:r/>
            <w:r>
              <w:rPr>
                <w:b/>
              </w:rPr>
              <w:t>Annual Report</w:t>
            </w:r>
          </w:p>
        </w:tc>
        <w:tc>
          <w:tcPr>
            <w:tcW w:type="dxa" w:w="4320"/>
          </w:tcPr>
          <w:p>
            <w:r/>
            <w:r>
              <w:t>A yearly document published by a listed company reporting its financial results and strategy</w:t>
            </w:r>
          </w:p>
        </w:tc>
      </w:tr>
      <w:tr>
        <w:tc>
          <w:tcPr>
            <w:tcW w:type="dxa" w:w="4320"/>
          </w:tcPr>
          <w:p>
            <w:r/>
            <w:r>
              <w:rPr>
                <w:b/>
              </w:rPr>
              <w:t>Bear Market</w:t>
            </w:r>
          </w:p>
        </w:tc>
        <w:tc>
          <w:tcPr>
            <w:tcW w:type="dxa" w:w="4320"/>
          </w:tcPr>
          <w:p>
            <w:r/>
            <w:r>
              <w:t>A sustained market decline of 20% or more from recent highs</w:t>
            </w:r>
          </w:p>
        </w:tc>
      </w:tr>
      <w:tr>
        <w:tc>
          <w:tcPr>
            <w:tcW w:type="dxa" w:w="4320"/>
          </w:tcPr>
          <w:p>
            <w:r/>
            <w:r>
              <w:rPr>
                <w:b/>
              </w:rPr>
              <w:t>Bull Market</w:t>
            </w:r>
          </w:p>
        </w:tc>
        <w:tc>
          <w:tcPr>
            <w:tcW w:type="dxa" w:w="4320"/>
          </w:tcPr>
          <w:p>
            <w:r/>
            <w:r>
              <w:t>A sustained market rise of 20% or more from recent lows</w:t>
            </w:r>
          </w:p>
        </w:tc>
      </w:tr>
      <w:tr>
        <w:tc>
          <w:tcPr>
            <w:tcW w:type="dxa" w:w="4320"/>
          </w:tcPr>
          <w:p>
            <w:r/>
            <w:r>
              <w:rPr>
                <w:b/>
              </w:rPr>
              <w:t>CAGR</w:t>
            </w:r>
          </w:p>
        </w:tc>
        <w:tc>
          <w:tcPr>
            <w:tcW w:type="dxa" w:w="4320"/>
          </w:tcPr>
          <w:p>
            <w:r/>
            <w:r>
              <w:t>Compound Annual Growth Rate — the smoothed annual rate of growth over a period</w:t>
            </w:r>
          </w:p>
        </w:tc>
      </w:tr>
      <w:tr>
        <w:tc>
          <w:tcPr>
            <w:tcW w:type="dxa" w:w="4320"/>
          </w:tcPr>
          <w:p>
            <w:r/>
            <w:r>
              <w:rPr>
                <w:b/>
              </w:rPr>
              <w:t>Capital Gain</w:t>
            </w:r>
          </w:p>
        </w:tc>
        <w:tc>
          <w:tcPr>
            <w:tcW w:type="dxa" w:w="4320"/>
          </w:tcPr>
          <w:p>
            <w:r/>
            <w:r>
              <w:t>Profit made when a share price rises above the price you paid</w:t>
            </w:r>
          </w:p>
        </w:tc>
      </w:tr>
      <w:tr>
        <w:tc>
          <w:tcPr>
            <w:tcW w:type="dxa" w:w="4320"/>
          </w:tcPr>
          <w:p>
            <w:r/>
            <w:r>
              <w:rPr>
                <w:b/>
              </w:rPr>
              <w:t>Current Ratio</w:t>
            </w:r>
          </w:p>
        </w:tc>
        <w:tc>
          <w:tcPr>
            <w:tcW w:type="dxa" w:w="4320"/>
          </w:tcPr>
          <w:p>
            <w:r/>
            <w:r>
              <w:t>Current assets ÷ current liabilities. A ratio above 1.0 means short-term bills can be met</w:t>
            </w:r>
          </w:p>
        </w:tc>
      </w:tr>
      <w:tr>
        <w:tc>
          <w:tcPr>
            <w:tcW w:type="dxa" w:w="4320"/>
          </w:tcPr>
          <w:p>
            <w:r/>
            <w:r>
              <w:rPr>
                <w:b/>
              </w:rPr>
              <w:t>Dividend</w:t>
            </w:r>
          </w:p>
        </w:tc>
        <w:tc>
          <w:tcPr>
            <w:tcW w:type="dxa" w:w="4320"/>
          </w:tcPr>
          <w:p>
            <w:r/>
            <w:r>
              <w:t>A cash payment made by a company to its shareholders, usually quarterly or annually</w:t>
            </w:r>
          </w:p>
        </w:tc>
      </w:tr>
      <w:tr>
        <w:tc>
          <w:tcPr>
            <w:tcW w:type="dxa" w:w="4320"/>
          </w:tcPr>
          <w:p>
            <w:r/>
            <w:r>
              <w:rPr>
                <w:b/>
              </w:rPr>
              <w:t>Dividend Yield</w:t>
            </w:r>
          </w:p>
        </w:tc>
        <w:tc>
          <w:tcPr>
            <w:tcW w:type="dxa" w:w="4320"/>
          </w:tcPr>
          <w:p>
            <w:r/>
            <w:r>
              <w:t>Annual dividend per share ÷ share price. Expressed as a percentage</w:t>
            </w:r>
          </w:p>
        </w:tc>
      </w:tr>
      <w:tr>
        <w:tc>
          <w:tcPr>
            <w:tcW w:type="dxa" w:w="4320"/>
          </w:tcPr>
          <w:p>
            <w:r/>
            <w:r>
              <w:rPr>
                <w:b/>
              </w:rPr>
              <w:t>EPS</w:t>
            </w:r>
          </w:p>
        </w:tc>
        <w:tc>
          <w:tcPr>
            <w:tcW w:type="dxa" w:w="4320"/>
          </w:tcPr>
          <w:p>
            <w:r/>
            <w:r>
              <w:t>Earnings Per Share — company net profit divided by shares outstanding</w:t>
            </w:r>
          </w:p>
        </w:tc>
      </w:tr>
      <w:tr>
        <w:tc>
          <w:tcPr>
            <w:tcW w:type="dxa" w:w="4320"/>
          </w:tcPr>
          <w:p>
            <w:r/>
            <w:r>
              <w:rPr>
                <w:b/>
              </w:rPr>
              <w:t>Enterprise Value (EV)</w:t>
            </w:r>
          </w:p>
        </w:tc>
        <w:tc>
          <w:tcPr>
            <w:tcW w:type="dxa" w:w="4320"/>
          </w:tcPr>
          <w:p>
            <w:r/>
            <w:r>
              <w:t>Market cap + net debt. The theoretical takeover cost of a business</w:t>
            </w:r>
          </w:p>
        </w:tc>
      </w:tr>
      <w:tr>
        <w:tc>
          <w:tcPr>
            <w:tcW w:type="dxa" w:w="4320"/>
          </w:tcPr>
          <w:p>
            <w:r/>
            <w:r>
              <w:rPr>
                <w:b/>
              </w:rPr>
              <w:t>Equity</w:t>
            </w:r>
          </w:p>
        </w:tc>
        <w:tc>
          <w:tcPr>
            <w:tcW w:type="dxa" w:w="4320"/>
          </w:tcPr>
          <w:p>
            <w:r/>
            <w:r>
              <w:t>Shareholders' ownership stake in a company. Assets minus liabilities.</w:t>
            </w:r>
          </w:p>
        </w:tc>
      </w:tr>
      <w:tr>
        <w:tc>
          <w:tcPr>
            <w:tcW w:type="dxa" w:w="4320"/>
          </w:tcPr>
          <w:p>
            <w:r/>
            <w:r>
              <w:rPr>
                <w:b/>
              </w:rPr>
              <w:t>FCF</w:t>
            </w:r>
          </w:p>
        </w:tc>
        <w:tc>
          <w:tcPr>
            <w:tcW w:type="dxa" w:w="4320"/>
          </w:tcPr>
          <w:p>
            <w:r/>
            <w:r>
              <w:t>Free Cash Flow — operating cash flow minus capital expenditure</w:t>
            </w:r>
          </w:p>
        </w:tc>
      </w:tr>
      <w:tr>
        <w:tc>
          <w:tcPr>
            <w:tcW w:type="dxa" w:w="4320"/>
          </w:tcPr>
          <w:p>
            <w:r/>
            <w:r>
              <w:rPr>
                <w:b/>
              </w:rPr>
              <w:t>Gilts</w:t>
            </w:r>
          </w:p>
        </w:tc>
        <w:tc>
          <w:tcPr>
            <w:tcW w:type="dxa" w:w="4320"/>
          </w:tcPr>
          <w:p>
            <w:r/>
            <w:r>
              <w:t>UK government bonds. The "risk-free" investment benchmark for UK investors</w:t>
            </w:r>
          </w:p>
        </w:tc>
      </w:tr>
      <w:tr>
        <w:tc>
          <w:tcPr>
            <w:tcW w:type="dxa" w:w="4320"/>
          </w:tcPr>
          <w:p>
            <w:r/>
            <w:r>
              <w:rPr>
                <w:b/>
              </w:rPr>
              <w:t>Gross Margin</w:t>
            </w:r>
          </w:p>
        </w:tc>
        <w:tc>
          <w:tcPr>
            <w:tcW w:type="dxa" w:w="4320"/>
          </w:tcPr>
          <w:p>
            <w:r/>
            <w:r>
              <w:t>(Revenue − Cost of Goods Sold) ÷ Revenue. The profitability before operating costs</w:t>
            </w:r>
          </w:p>
        </w:tc>
      </w:tr>
      <w:tr>
        <w:tc>
          <w:tcPr>
            <w:tcW w:type="dxa" w:w="4320"/>
          </w:tcPr>
          <w:p>
            <w:r/>
            <w:r>
              <w:rPr>
                <w:b/>
              </w:rPr>
              <w:t>ICB</w:t>
            </w:r>
          </w:p>
        </w:tc>
        <w:tc>
          <w:tcPr>
            <w:tcW w:type="dxa" w:w="4320"/>
          </w:tcPr>
          <w:p>
            <w:r/>
            <w:r>
              <w:t>Industry Classification Benchmark — the standard sector taxonomy for UK-listed companies</w:t>
            </w:r>
          </w:p>
        </w:tc>
      </w:tr>
      <w:tr>
        <w:tc>
          <w:tcPr>
            <w:tcW w:type="dxa" w:w="4320"/>
          </w:tcPr>
          <w:p>
            <w:r/>
            <w:r>
              <w:rPr>
                <w:b/>
              </w:rPr>
              <w:t>IPO</w:t>
            </w:r>
          </w:p>
        </w:tc>
        <w:tc>
          <w:tcPr>
            <w:tcW w:type="dxa" w:w="4320"/>
          </w:tcPr>
          <w:p>
            <w:r/>
            <w:r>
              <w:t>Initial Public Offering — when a company lists on a stock exchange for the first time</w:t>
            </w:r>
          </w:p>
        </w:tc>
      </w:tr>
      <w:tr>
        <w:tc>
          <w:tcPr>
            <w:tcW w:type="dxa" w:w="4320"/>
          </w:tcPr>
          <w:p>
            <w:r/>
            <w:r>
              <w:rPr>
                <w:b/>
              </w:rPr>
              <w:t>Liquidity</w:t>
            </w:r>
          </w:p>
        </w:tc>
        <w:tc>
          <w:tcPr>
            <w:tcW w:type="dxa" w:w="4320"/>
          </w:tcPr>
          <w:p>
            <w:r/>
            <w:r>
              <w:t>How easily a share can be bought or sold without affecting its price</w:t>
            </w:r>
          </w:p>
        </w:tc>
      </w:tr>
      <w:tr>
        <w:tc>
          <w:tcPr>
            <w:tcW w:type="dxa" w:w="4320"/>
          </w:tcPr>
          <w:p>
            <w:r/>
            <w:r>
              <w:rPr>
                <w:b/>
              </w:rPr>
              <w:t>Market Cap</w:t>
            </w:r>
          </w:p>
        </w:tc>
        <w:tc>
          <w:tcPr>
            <w:tcW w:type="dxa" w:w="4320"/>
          </w:tcPr>
          <w:p>
            <w:r/>
            <w:r>
              <w:t>Share price × shares outstanding. The total market value of the company</w:t>
            </w:r>
          </w:p>
        </w:tc>
      </w:tr>
      <w:tr>
        <w:tc>
          <w:tcPr>
            <w:tcW w:type="dxa" w:w="4320"/>
          </w:tcPr>
          <w:p>
            <w:r/>
            <w:r>
              <w:rPr>
                <w:b/>
              </w:rPr>
              <w:t>Moving Average (MA)</w:t>
            </w:r>
          </w:p>
        </w:tc>
        <w:tc>
          <w:tcPr>
            <w:tcW w:type="dxa" w:w="4320"/>
          </w:tcPr>
          <w:p>
            <w:r/>
            <w:r>
              <w:t>The average price over a specified number of recent days. Smooths out daily price noise</w:t>
            </w:r>
          </w:p>
        </w:tc>
      </w:tr>
      <w:tr>
        <w:tc>
          <w:tcPr>
            <w:tcW w:type="dxa" w:w="4320"/>
          </w:tcPr>
          <w:p>
            <w:r/>
            <w:r>
              <w:rPr>
                <w:b/>
              </w:rPr>
              <w:t>Net Debt</w:t>
            </w:r>
          </w:p>
        </w:tc>
        <w:tc>
          <w:tcPr>
            <w:tcW w:type="dxa" w:w="4320"/>
          </w:tcPr>
          <w:p>
            <w:r/>
            <w:r>
              <w:t>Total borrowings minus cash. Negative net debt = more cash than debt</w:t>
            </w:r>
          </w:p>
        </w:tc>
      </w:tr>
      <w:tr>
        <w:tc>
          <w:tcPr>
            <w:tcW w:type="dxa" w:w="4320"/>
          </w:tcPr>
          <w:p>
            <w:r/>
            <w:r>
              <w:rPr>
                <w:b/>
              </w:rPr>
              <w:t>Operating Leverage</w:t>
            </w:r>
          </w:p>
        </w:tc>
        <w:tc>
          <w:tcPr>
            <w:tcW w:type="dxa" w:w="4320"/>
          </w:tcPr>
          <w:p>
            <w:r/>
            <w:r>
              <w:t>How much a company's profits amplify when revenue grows. High leverage = profit rises faster than sales</w:t>
            </w:r>
          </w:p>
        </w:tc>
      </w:tr>
      <w:tr>
        <w:tc>
          <w:tcPr>
            <w:tcW w:type="dxa" w:w="4320"/>
          </w:tcPr>
          <w:p>
            <w:r/>
            <w:r>
              <w:rPr>
                <w:b/>
              </w:rPr>
              <w:t>P/B Ratio</w:t>
            </w:r>
          </w:p>
        </w:tc>
        <w:tc>
          <w:tcPr>
            <w:tcW w:type="dxa" w:w="4320"/>
          </w:tcPr>
          <w:p>
            <w:r/>
            <w:r>
              <w:t>Price to Book — share price divided by net assets per share</w:t>
            </w:r>
          </w:p>
        </w:tc>
      </w:tr>
      <w:tr>
        <w:tc>
          <w:tcPr>
            <w:tcW w:type="dxa" w:w="4320"/>
          </w:tcPr>
          <w:p>
            <w:r/>
            <w:r>
              <w:rPr>
                <w:b/>
              </w:rPr>
              <w:t>P/E Ratio</w:t>
            </w:r>
          </w:p>
        </w:tc>
        <w:tc>
          <w:tcPr>
            <w:tcW w:type="dxa" w:w="4320"/>
          </w:tcPr>
          <w:p>
            <w:r/>
            <w:r>
              <w:t>Price to Earnings — share price divided by earnings per share</w:t>
            </w:r>
          </w:p>
        </w:tc>
      </w:tr>
      <w:tr>
        <w:tc>
          <w:tcPr>
            <w:tcW w:type="dxa" w:w="4320"/>
          </w:tcPr>
          <w:p>
            <w:r/>
            <w:r>
              <w:rPr>
                <w:b/>
              </w:rPr>
              <w:t>MACD</w:t>
            </w:r>
          </w:p>
        </w:tc>
        <w:tc>
          <w:tcPr>
            <w:tcW w:type="dxa" w:w="4320"/>
          </w:tcPr>
          <w:p>
            <w:r/>
            <w:r>
              <w:t>Moving Average Convergence Divergence — a momentum indicator built from the difference between a 12-day and 26-day exponential moving average, with a 9-day signal line. A chart overlay (see §4.1)</w:t>
            </w:r>
          </w:p>
        </w:tc>
      </w:tr>
      <w:tr>
        <w:tc>
          <w:tcPr>
            <w:tcW w:type="dxa" w:w="4320"/>
          </w:tcPr>
          <w:p>
            <w:r/>
            <w:r>
              <w:rPr>
                <w:b/>
              </w:rPr>
              <w:t>PEGY</w:t>
            </w:r>
          </w:p>
        </w:tc>
        <w:tc>
          <w:tcPr>
            <w:tcW w:type="dxa" w:w="4320"/>
          </w:tcPr>
          <w:p>
            <w:r/>
            <w:r>
              <w:t>(Forward) Price/Earnings divided by (Growth + Yield). A value-for-money check that combines the P/E with both growth and dividend yield in one figure. In this app the P/E is forward-looking and growth is a capped blend of analyst and historical EPS growth (see §3.5)</w:t>
            </w:r>
          </w:p>
        </w:tc>
      </w:tr>
      <w:tr>
        <w:tc>
          <w:tcPr>
            <w:tcW w:type="dxa" w:w="4320"/>
          </w:tcPr>
          <w:p>
            <w:r/>
            <w:r>
              <w:rPr>
                <w:b/>
              </w:rPr>
              <w:t>P/S Ratio</w:t>
            </w:r>
          </w:p>
        </w:tc>
        <w:tc>
          <w:tcPr>
            <w:tcW w:type="dxa" w:w="4320"/>
          </w:tcPr>
          <w:p>
            <w:r/>
            <w:r>
              <w:t>Price to Sales — market cap divided by annual revenue</w:t>
            </w:r>
          </w:p>
        </w:tc>
      </w:tr>
      <w:tr>
        <w:tc>
          <w:tcPr>
            <w:tcW w:type="dxa" w:w="4320"/>
          </w:tcPr>
          <w:p>
            <w:r/>
            <w:r>
              <w:rPr>
                <w:b/>
              </w:rPr>
              <w:t>Relative Strength</w:t>
            </w:r>
          </w:p>
        </w:tc>
        <w:tc>
          <w:tcPr>
            <w:tcW w:type="dxa" w:w="4320"/>
          </w:tcPr>
          <w:p>
            <w:r/>
            <w:r>
              <w:t>A stock's or sector's performance relative to a benchmark</w:t>
            </w:r>
          </w:p>
        </w:tc>
      </w:tr>
      <w:tr>
        <w:tc>
          <w:tcPr>
            <w:tcW w:type="dxa" w:w="4320"/>
          </w:tcPr>
          <w:p>
            <w:r/>
            <w:r>
              <w:rPr>
                <w:b/>
              </w:rPr>
              <w:t>RNS</w:t>
            </w:r>
          </w:p>
        </w:tc>
        <w:tc>
          <w:tcPr>
            <w:tcW w:type="dxa" w:w="4320"/>
          </w:tcPr>
          <w:p>
            <w:r/>
            <w:r>
              <w:t>Regulatory News Service — the official Stock Exchange channel that all UK listed companies must use to release price-sensitive information</w:t>
            </w:r>
          </w:p>
        </w:tc>
      </w:tr>
      <w:tr>
        <w:tc>
          <w:tcPr>
            <w:tcW w:type="dxa" w:w="4320"/>
          </w:tcPr>
          <w:p>
            <w:r/>
            <w:r>
              <w:rPr>
                <w:b/>
              </w:rPr>
              <w:t>ROA</w:t>
            </w:r>
          </w:p>
        </w:tc>
        <w:tc>
          <w:tcPr>
            <w:tcW w:type="dxa" w:w="4320"/>
          </w:tcPr>
          <w:p>
            <w:r/>
            <w:r>
              <w:t>Return on Assets — net income ÷ total assets</w:t>
            </w:r>
          </w:p>
        </w:tc>
      </w:tr>
      <w:tr>
        <w:tc>
          <w:tcPr>
            <w:tcW w:type="dxa" w:w="4320"/>
          </w:tcPr>
          <w:p>
            <w:r/>
            <w:r>
              <w:rPr>
                <w:b/>
              </w:rPr>
              <w:t>ROCE</w:t>
            </w:r>
          </w:p>
        </w:tc>
        <w:tc>
          <w:tcPr>
            <w:tcW w:type="dxa" w:w="4320"/>
          </w:tcPr>
          <w:p>
            <w:r/>
            <w:r>
              <w:t>Return on Capital Employed — operating profit ÷ capital employed</w:t>
            </w:r>
          </w:p>
        </w:tc>
      </w:tr>
      <w:tr>
        <w:tc>
          <w:tcPr>
            <w:tcW w:type="dxa" w:w="4320"/>
          </w:tcPr>
          <w:p>
            <w:r/>
            <w:r>
              <w:rPr>
                <w:b/>
              </w:rPr>
              <w:t>ROE</w:t>
            </w:r>
          </w:p>
        </w:tc>
        <w:tc>
          <w:tcPr>
            <w:tcW w:type="dxa" w:w="4320"/>
          </w:tcPr>
          <w:p>
            <w:r/>
            <w:r>
              <w:t>Return on Equity — net income ÷ shareholders' equity</w:t>
            </w:r>
          </w:p>
        </w:tc>
      </w:tr>
      <w:tr>
        <w:tc>
          <w:tcPr>
            <w:tcW w:type="dxa" w:w="4320"/>
          </w:tcPr>
          <w:p>
            <w:r/>
            <w:r>
              <w:rPr>
                <w:b/>
              </w:rPr>
              <w:t>ROIC</w:t>
            </w:r>
          </w:p>
        </w:tc>
        <w:tc>
          <w:tcPr>
            <w:tcW w:type="dxa" w:w="4320"/>
          </w:tcPr>
          <w:p>
            <w:r/>
            <w:r>
              <w:t>Return on Invested Capital — net operating profit after tax ÷ invested capital</w:t>
            </w:r>
          </w:p>
        </w:tc>
      </w:tr>
      <w:tr>
        <w:tc>
          <w:tcPr>
            <w:tcW w:type="dxa" w:w="4320"/>
          </w:tcPr>
          <w:p>
            <w:r/>
            <w:r>
              <w:rPr>
                <w:b/>
              </w:rPr>
              <w:t>RSI</w:t>
            </w:r>
          </w:p>
        </w:tc>
        <w:tc>
          <w:tcPr>
            <w:tcW w:type="dxa" w:w="4320"/>
          </w:tcPr>
          <w:p>
            <w:r/>
            <w:r>
              <w:t>Relative Strength Index — a 0–100 momentum oscillator (14-day, Wilder's smoothing). Above 70 = overbought, below 30 = oversold. A chart overlay (see §4.1)</w:t>
            </w:r>
          </w:p>
        </w:tc>
      </w:tr>
      <w:tr>
        <w:tc>
          <w:tcPr>
            <w:tcW w:type="dxa" w:w="4320"/>
          </w:tcPr>
          <w:p>
            <w:r/>
            <w:r>
              <w:rPr>
                <w:b/>
              </w:rPr>
              <w:t>Sector Rotation</w:t>
            </w:r>
          </w:p>
        </w:tc>
        <w:tc>
          <w:tcPr>
            <w:tcW w:type="dxa" w:w="4320"/>
          </w:tcPr>
          <w:p>
            <w:r/>
            <w:r>
              <w:t>The movement of investment capital between industry sectors as the economic cycle evolves</w:t>
            </w:r>
          </w:p>
        </w:tc>
      </w:tr>
      <w:tr>
        <w:tc>
          <w:tcPr>
            <w:tcW w:type="dxa" w:w="4320"/>
          </w:tcPr>
          <w:p>
            <w:r/>
            <w:r>
              <w:rPr>
                <w:b/>
              </w:rPr>
              <w:t>Shrinkage (coverage)</w:t>
            </w:r>
          </w:p>
        </w:tc>
        <w:tc>
          <w:tcPr>
            <w:tcW w:type="dxa" w:w="4320"/>
          </w:tcPr>
          <w:p>
            <w:r/>
            <w:r>
              <w:t>A statistical adjustment that pulls a thinly-covered stock's Buy% toward a neutral 50% baseline (prior weight k=5 analysts), so a "100% bullish" rating from a single analyst is not treated as strong as the same rating from twenty (see §7)</w:t>
            </w:r>
          </w:p>
        </w:tc>
      </w:tr>
      <w:tr>
        <w:tc>
          <w:tcPr>
            <w:tcW w:type="dxa" w:w="4320"/>
          </w:tcPr>
          <w:p>
            <w:r/>
            <w:r>
              <w:rPr>
                <w:b/>
              </w:rPr>
              <w:t>Ticker</w:t>
            </w:r>
          </w:p>
        </w:tc>
        <w:tc>
          <w:tcPr>
            <w:tcW w:type="dxa" w:w="4320"/>
          </w:tcPr>
          <w:p>
            <w:r/>
            <w:r>
              <w:t xml:space="preserve">A short code identifying a listed stock (e.g. </w:t>
            </w:r>
            <w:r>
              <w:rPr>
                <w:rFonts w:ascii="Consolas" w:hAnsi="Consolas"/>
                <w:color w:val="B11A4B"/>
              </w:rPr>
              <w:t>AZN.L</w:t>
            </w:r>
            <w:r>
              <w:t xml:space="preserve"> for AstraZeneca London)</w:t>
            </w:r>
          </w:p>
        </w:tc>
      </w:tr>
      <w:tr>
        <w:tc>
          <w:tcPr>
            <w:tcW w:type="dxa" w:w="4320"/>
          </w:tcPr>
          <w:p>
            <w:r/>
            <w:r>
              <w:rPr>
                <w:b/>
              </w:rPr>
              <w:t>Treemap</w:t>
            </w:r>
          </w:p>
        </w:tc>
        <w:tc>
          <w:tcPr>
            <w:tcW w:type="dxa" w:w="4320"/>
          </w:tcPr>
          <w:p>
            <w:r/>
            <w:r>
              <w:t>A chart that fills space with nested rectangles; here, one tile per company sized by market cap and coloured by daily move (the Sector Heatmap, see §5.3)</w:t>
            </w:r>
          </w:p>
        </w:tc>
      </w:tr>
      <w:tr>
        <w:tc>
          <w:tcPr>
            <w:tcW w:type="dxa" w:w="4320"/>
          </w:tcPr>
          <w:p>
            <w:r/>
            <w:r>
              <w:rPr>
                <w:b/>
              </w:rPr>
              <w:t>Volatility</w:t>
            </w:r>
          </w:p>
        </w:tc>
        <w:tc>
          <w:tcPr>
            <w:tcW w:type="dxa" w:w="4320"/>
          </w:tcPr>
          <w:p>
            <w:r/>
            <w:r>
              <w:t>The degree of price fluctuation. Higher volatility = higher uncertainty = higher risk</w:t>
            </w:r>
          </w:p>
        </w:tc>
      </w:tr>
      <w:tr>
        <w:tc>
          <w:tcPr>
            <w:tcW w:type="dxa" w:w="4320"/>
          </w:tcPr>
          <w:p>
            <w:r/>
            <w:r>
              <w:rPr>
                <w:b/>
              </w:rPr>
              <w:t>Yield Curve</w:t>
            </w:r>
          </w:p>
        </w:tc>
        <w:tc>
          <w:tcPr>
            <w:tcW w:type="dxa" w:w="4320"/>
          </w:tcPr>
          <w:p>
            <w:r/>
            <w:r>
              <w:t>A graph of government bond yields across different maturities. Its shape signals economic expectations</w:t>
            </w:r>
          </w:p>
        </w:tc>
      </w:tr>
      <w:tr>
        <w:tc>
          <w:tcPr>
            <w:tcW w:type="dxa" w:w="4320"/>
          </w:tcPr>
          <w:p>
            <w:r/>
            <w:r>
              <w:rPr>
                <w:b/>
              </w:rPr>
              <w:t>Z-Score (Altman)</w:t>
            </w:r>
          </w:p>
        </w:tc>
        <w:tc>
          <w:tcPr>
            <w:tcW w:type="dxa" w:w="4320"/>
          </w:tcPr>
          <w:p>
            <w:r/>
            <w:r>
              <w:t>A statistical measure predicting probability of corporate bankruptcy</w:t>
            </w:r>
          </w:p>
        </w:tc>
      </w:tr>
      <w:tr>
        <w:tc>
          <w:tcPr>
            <w:tcW w:type="dxa" w:w="4320"/>
          </w:tcPr>
          <w:p>
            <w:r/>
            <w:r>
              <w:rPr>
                <w:b/>
              </w:rPr>
              <w:t>Z-Score (statistical)</w:t>
            </w:r>
          </w:p>
        </w:tc>
        <w:tc>
          <w:tcPr>
            <w:tcW w:type="dxa" w:w="4320"/>
          </w:tcPr>
          <w:p>
            <w:r/>
            <w:r>
              <w:t>How many standard deviations a value is from its historical average</w:t>
            </w:r>
          </w:p>
        </w:tc>
      </w:tr>
    </w:tbl>
    <w:p>
      <w:pPr>
        <w:pBdr>
          <w:bottom w:val="single" w:sz="6" w:space="1" w:color="CCCCCC"/>
        </w:pBdr>
      </w:pPr>
    </w:p>
    <w:p>
      <w:pPr>
        <w:pStyle w:val="Heading2"/>
      </w:pPr>
      <w:bookmarkStart w:id="61" w:name="mh61"/>
      <w:r>
        <w:t>Appendix A — Methodology References</w:t>
      </w:r>
      <w:bookmarkEnd w:id="61"/>
    </w:p>
    <w:p>
      <w:r>
        <w:t>The quantitative indicators used in Alpha Move AI are grounded in peer-reviewed academic research. Below are the key papers underlying each methodology.</w:t>
      </w:r>
    </w:p>
    <w:p>
      <w:pPr>
        <w:pBdr>
          <w:bottom w:val="single" w:sz="6" w:space="1" w:color="CCCCCC"/>
        </w:pBdr>
      </w:pPr>
    </w:p>
    <w:p>
      <w:pPr>
        <w:pStyle w:val="Heading3"/>
      </w:pPr>
      <w:bookmarkStart w:id="62" w:name="mh62"/>
      <w:r>
        <w:t>Price Momentum</w:t>
      </w:r>
      <w:bookmarkEnd w:id="62"/>
    </w:p>
    <w:p>
      <w:r>
        <w:rPr>
          <w:b/>
        </w:rPr>
        <w:t>Jegadeesh, N. &amp; Titman, S. (1993)</w:t>
      </w:r>
      <w:r>
        <w:t xml:space="preserve"> </w:t>
      </w:r>
      <w:r>
        <w:rPr>
          <w:i/>
        </w:rPr>
        <w:t>"Returns to Buying Winners and Selling Losers: Implications for Stock Market Efficiency"</w:t>
      </w:r>
      <w:r>
        <w:t xml:space="preserve"> Journal of Finance, 48(1), pp. 65–91.</w:t>
      </w:r>
    </w:p>
    <w:p>
      <w:r>
        <w:t>The seminal paper demonstrating that stocks which perform well over the past 3–12 months continue to outperform over the following 3–12 months. This "momentum effect" has since been replicated across virtually every developed and emerging market studied.</w:t>
      </w:r>
    </w:p>
    <w:p>
      <w:r>
        <w:rPr>
          <w:b/>
        </w:rPr>
        <w:t>Asness, C., Moskowitz, T. &amp; Pedersen, L. (2013)</w:t>
      </w:r>
      <w:r>
        <w:t xml:space="preserve"> </w:t>
      </w:r>
      <w:r>
        <w:rPr>
          <w:i/>
        </w:rPr>
        <w:t>"Value and Momentum Everywhere"</w:t>
      </w:r>
      <w:r>
        <w:t xml:space="preserve"> Journal of Finance, 68(3), pp. 929–985.</w:t>
      </w:r>
    </w:p>
    <w:p>
      <w:r>
        <w:t>Demonstrates that momentum and value factors work across asset classes (stocks, bonds, currencies, commodities) and geographies. Also shows the diversification benefit of combining momentum with value.</w:t>
      </w:r>
    </w:p>
    <w:p>
      <w:r>
        <w:rPr>
          <w:b/>
        </w:rPr>
        <w:t>The 12-1 Month Window:</w:t>
      </w:r>
      <w:r>
        <w:t xml:space="preserve"> The exclusion of the most recent month from the momentum calculation was formalised by Jegadeesh &amp; Titman. Short-term return reversal (the tendency of the best recent performers to give back gains) is distinct from the medium-term momentum effect and would corrupt the signal if included.</w:t>
      </w:r>
    </w:p>
    <w:p>
      <w:pPr>
        <w:pBdr>
          <w:bottom w:val="single" w:sz="6" w:space="1" w:color="CCCCCC"/>
        </w:pBdr>
      </w:pPr>
    </w:p>
    <w:p>
      <w:pPr>
        <w:pStyle w:val="Heading3"/>
      </w:pPr>
      <w:bookmarkStart w:id="63" w:name="mh63"/>
      <w:r>
        <w:t>Piotroski F-Score</w:t>
      </w:r>
      <w:bookmarkEnd w:id="63"/>
    </w:p>
    <w:p>
      <w:r>
        <w:rPr>
          <w:b/>
        </w:rPr>
        <w:t>Piotroski, J.D. (2000)</w:t>
      </w:r>
      <w:r>
        <w:t xml:space="preserve"> </w:t>
      </w:r>
      <w:r>
        <w:rPr>
          <w:i/>
        </w:rPr>
        <w:t>"Value Investing: The Use of Historical Financial Statement Information to Separate Winners from Losers"</w:t>
      </w:r>
      <w:r>
        <w:t xml:space="preserve"> Journal of Accounting Research, 38 (Supplement), pp. 1–41.</w:t>
      </w:r>
    </w:p>
    <w:p>
      <w:r>
        <w:t>Piotroski showed that among stocks with high book-to-market ratios (classic "value" stocks), a simple 9-point scoring system based on improving fundamentals could separate the subsequent strong performers from the weak. Portfolios of high-F-Score value stocks significantly outperformed in his study. The score has since been validated across many markets and time periods.</w:t>
      </w:r>
    </w:p>
    <w:p>
      <w:pPr>
        <w:pBdr>
          <w:bottom w:val="single" w:sz="6" w:space="1" w:color="CCCCCC"/>
        </w:pBdr>
      </w:pPr>
    </w:p>
    <w:p>
      <w:pPr>
        <w:pStyle w:val="Heading3"/>
      </w:pPr>
      <w:bookmarkStart w:id="64" w:name="mh64"/>
      <w:r>
        <w:t>Altman Z-Score</w:t>
      </w:r>
      <w:bookmarkEnd w:id="64"/>
    </w:p>
    <w:p>
      <w:r>
        <w:rPr>
          <w:b/>
        </w:rPr>
        <w:t>Altman, E.I. (1968)</w:t>
      </w:r>
      <w:r>
        <w:t xml:space="preserve"> </w:t>
      </w:r>
      <w:r>
        <w:rPr>
          <w:i/>
        </w:rPr>
        <w:t>"Financial Ratios, Discriminant Analysis and the Prediction of Corporate Bankruptcy"</w:t>
      </w:r>
      <w:r>
        <w:t xml:space="preserve"> Journal of Finance, 23(4), pp. 589–609.</w:t>
      </w:r>
    </w:p>
    <w:p>
      <w:r>
        <w:t>Altman used multiple discriminant analysis on 66 manufacturing firms to identify the financial ratios most predictive of bankruptcy within two years. The original model had 72% accuracy two years before failure; later variants for non-manufacturing and private companies improved this. The five-variable model combining working capital, retained earnings, operating income, market equity, and revenue relative to total assets remains widely used by credit analysts and risk managers.</w:t>
      </w:r>
    </w:p>
    <w:p>
      <w:r>
        <w:rPr>
          <w:b/>
        </w:rPr>
        <w:t>Altman, E.I. (2000)</w:t>
      </w:r>
      <w:r>
        <w:t xml:space="preserve"> </w:t>
      </w:r>
      <w:r>
        <w:rPr>
          <w:i/>
        </w:rPr>
        <w:t>"Predicting Financial Distress of Companies: Revisiting the Z-Score and ZETA Models"</w:t>
      </w:r>
      <w:r>
        <w:t xml:space="preserve"> Working Paper, Stern School of Business, NYU.</w:t>
      </w:r>
    </w:p>
    <w:p>
      <w:r>
        <w:t>Updated validation confirming continued predictive power and discussing adaptations for service industries and international markets.</w:t>
      </w:r>
    </w:p>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Application note:</w:t>
            </w:r>
            <w:r>
              <w:t xml:space="preserve"> Altman explicitly excluded financial firms (banks, insurers) from his sample, because their balance sheets are dominated by leverage that is normal for the business. This app follows that guidance: financials are </w:t>
            </w:r>
            <w:r>
              <w:rPr>
                <w:b/>
              </w:rPr>
              <w:t>not</w:t>
            </w:r>
            <w:r>
              <w:t xml:space="preserve"> scored with the Z-Score — their Risk Score uses price volatility plus a Return-on-Equity quality component instead (see §3.2).</w:t>
            </w:r>
          </w:p>
        </w:tc>
      </w:tr>
    </w:tbl>
    <w:p>
      <w:pPr>
        <w:pBdr>
          <w:bottom w:val="single" w:sz="6" w:space="1" w:color="CCCCCC"/>
        </w:pBdr>
      </w:pPr>
    </w:p>
    <w:p>
      <w:pPr>
        <w:pStyle w:val="Heading3"/>
      </w:pPr>
      <w:bookmarkStart w:id="65" w:name="mh65"/>
      <w:r>
        <w:t>Quality / Return-Based Investing</w:t>
      </w:r>
      <w:bookmarkEnd w:id="65"/>
    </w:p>
    <w:p>
      <w:r>
        <w:rPr>
          <w:b/>
        </w:rPr>
        <w:t>Novy-Marx, R. (2013)</w:t>
      </w:r>
      <w:r>
        <w:t xml:space="preserve"> </w:t>
      </w:r>
      <w:r>
        <w:rPr>
          <w:i/>
        </w:rPr>
        <w:t>"The Other Side of Value: The Gross Profitability Premium"</w:t>
      </w:r>
      <w:r>
        <w:t xml:space="preserve"> Journal of Financial Economics, 108(1), pp. 1–28.</w:t>
      </w:r>
    </w:p>
    <w:p>
      <w:r>
        <w:t>Demonstrates that highly profitable firms (measured by gross profit / assets) generate significantly higher returns than unprofitable firms, even controlling for value factors. This provides the academic basis for rewarding high gross margins in the quality score.</w:t>
      </w:r>
    </w:p>
    <w:p>
      <w:r>
        <w:rPr>
          <w:b/>
        </w:rPr>
        <w:t>Fama, E.F. &amp; French, K.R. (2015)</w:t>
      </w:r>
      <w:r>
        <w:t xml:space="preserve"> </w:t>
      </w:r>
      <w:r>
        <w:rPr>
          <w:i/>
        </w:rPr>
        <w:t>"A Five-Factor Asset Pricing Model"</w:t>
      </w:r>
      <w:r>
        <w:t xml:space="preserve"> Journal of Financial Economics, 116(1), pp. 1–22.</w:t>
      </w:r>
    </w:p>
    <w:p>
      <w:r>
        <w:t>The expanded Fama-French model adds profitability and investment factors to the classic three-factor model, confirming that high-profitability firms earn a persistent premium.</w:t>
      </w:r>
    </w:p>
    <w:p>
      <w:pPr>
        <w:pBdr>
          <w:bottom w:val="single" w:sz="6" w:space="1" w:color="CCCCCC"/>
        </w:pBdr>
      </w:pPr>
    </w:p>
    <w:p>
      <w:pPr>
        <w:pStyle w:val="Heading3"/>
      </w:pPr>
      <w:bookmarkStart w:id="66" w:name="mh66"/>
      <w:r>
        <w:t>Sector Rotation and the Economic Cycle</w:t>
      </w:r>
      <w:bookmarkEnd w:id="66"/>
    </w:p>
    <w:p>
      <w:r>
        <w:rPr>
          <w:b/>
        </w:rPr>
        <w:t>Stovall, S. (1996)</w:t>
      </w:r>
      <w:r>
        <w:t xml:space="preserve"> </w:t>
      </w:r>
      <w:r>
        <w:rPr>
          <w:i/>
        </w:rPr>
        <w:t>"Standard &amp; Poor's Guide to Sector Investing"</w:t>
      </w:r>
      <w:r>
        <w:t xml:space="preserve"> McGraw-Hill.</w:t>
      </w:r>
    </w:p>
    <w:p>
      <w:r>
        <w:t>The foundational practical framework for understanding which sectors tend to lead and lag at each phase of the economic cycle. The rotation pattern described — Cyclicals leading in recovery, Defensives outperforming in contraction — has been the practitioner's standard since the 1990s.</w:t>
      </w:r>
    </w:p>
    <w:p>
      <w:pPr>
        <w:pBdr>
          <w:bottom w:val="single" w:sz="6" w:space="1" w:color="CCCCCC"/>
        </w:pBdr>
      </w:pPr>
    </w:p>
    <w:p>
      <w:pPr>
        <w:pStyle w:val="Heading3"/>
      </w:pPr>
      <w:bookmarkStart w:id="67" w:name="mh67"/>
      <w:r>
        <w:t>Fear &amp; Greed / Sentiment Indicators</w:t>
      </w:r>
      <w:bookmarkEnd w:id="67"/>
    </w:p>
    <w:p>
      <w:r>
        <w:rPr>
          <w:b/>
        </w:rPr>
        <w:t>Baker, M. &amp; Wurgler, J. (2007)</w:t>
      </w:r>
      <w:r>
        <w:t xml:space="preserve"> </w:t>
      </w:r>
      <w:r>
        <w:rPr>
          <w:i/>
        </w:rPr>
        <w:t>"Investor Sentiment in the Stock Market"</w:t>
      </w:r>
      <w:r>
        <w:t xml:space="preserve"> Journal of Economic Perspectives, 21(2), pp. 129–151.</w:t>
      </w:r>
    </w:p>
    <w:p>
      <w:r>
        <w:t>Documents how investor sentiment — measurable through market breadth, new highs/lows, and other indicators — is predictive of subsequent returns, especially for smaller, harder-to-arbitrage stocks. When sentiment is high (greed), subsequent returns tend to be lower; when sentiment is low (fear), subsequent returns tend to be higher.</w:t>
      </w:r>
    </w:p>
    <w:p>
      <w:pPr>
        <w:pBdr>
          <w:bottom w:val="single" w:sz="6" w:space="1" w:color="CCCCCC"/>
        </w:pBdr>
      </w:pPr>
    </w:p>
    <w:p>
      <w:pPr>
        <w:pStyle w:val="Heading2"/>
      </w:pPr>
      <w:bookmarkStart w:id="68" w:name="mh68"/>
      <w:r>
        <w:t>Appendix B — ICB Sector Company List</w:t>
      </w:r>
      <w:bookmarkEnd w:id="68"/>
    </w:p>
    <w:p>
      <w:r>
        <w:t xml:space="preserve">The </w:t>
      </w:r>
      <w:r>
        <w:rPr>
          <w:b/>
        </w:rPr>
        <w:t>Industry Classification Benchmark (ICB)</w:t>
      </w:r>
      <w:r>
        <w:t xml:space="preserve"> is the taxonomy used to classify UK-listed companies by sector. Below are the representative companies tracked by Alpha Move AI in each sector. Tickers ending </w:t>
      </w:r>
      <w:r>
        <w:rPr>
          <w:rFonts w:ascii="Consolas" w:hAnsi="Consolas"/>
          <w:color w:val="B11A4B"/>
        </w:rPr>
        <w:t>.L</w:t>
      </w:r>
      <w:r>
        <w:t xml:space="preserve"> are listed on the London Stock Exchange.</w:t>
      </w:r>
    </w:p>
    <w:p>
      <w:pPr>
        <w:pBdr>
          <w:bottom w:val="single" w:sz="6" w:space="1" w:color="CCCCCC"/>
        </w:pBdr>
      </w:pPr>
    </w:p>
    <w:p>
      <w:pPr>
        <w:pStyle w:val="Heading3"/>
      </w:pPr>
      <w:bookmarkStart w:id="69" w:name="mh69"/>
      <w:r>
        <w:t>Energy</w:t>
      </w:r>
      <w:bookmarkEnd w:id="69"/>
    </w:p>
    <w:p>
      <w:r>
        <w:t>Companies involved in oil and gas exploration, production, refining, and distribution.</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Ticker</w:t>
            </w:r>
          </w:p>
        </w:tc>
        <w:tc>
          <w:tcPr>
            <w:tcW w:type="dxa" w:w="4320"/>
            <w:shd w:val="clear" w:color="auto" w:fill="E7ECF3"/>
          </w:tcPr>
          <w:p>
            <w:r>
              <w:rPr>
                <w:b/>
              </w:rPr>
            </w:r>
            <w:r>
              <w:rPr>
                <w:b/>
              </w:rPr>
            </w:r>
            <w:r>
              <w:rPr>
                <w:b/>
              </w:rPr>
              <w:t>Company</w:t>
            </w:r>
          </w:p>
        </w:tc>
      </w:tr>
      <w:tr>
        <w:tc>
          <w:tcPr>
            <w:tcW w:type="dxa" w:w="4320"/>
          </w:tcPr>
          <w:p>
            <w:r/>
            <w:r>
              <w:t>SHEL.L</w:t>
            </w:r>
          </w:p>
        </w:tc>
        <w:tc>
          <w:tcPr>
            <w:tcW w:type="dxa" w:w="4320"/>
          </w:tcPr>
          <w:p>
            <w:r/>
            <w:r>
              <w:t>Shell</w:t>
            </w:r>
          </w:p>
        </w:tc>
      </w:tr>
      <w:tr>
        <w:tc>
          <w:tcPr>
            <w:tcW w:type="dxa" w:w="4320"/>
          </w:tcPr>
          <w:p>
            <w:r/>
            <w:r>
              <w:t>BP.L</w:t>
            </w:r>
          </w:p>
        </w:tc>
        <w:tc>
          <w:tcPr>
            <w:tcW w:type="dxa" w:w="4320"/>
          </w:tcPr>
          <w:p>
            <w:r/>
            <w:r>
              <w:t>BP</w:t>
            </w:r>
          </w:p>
        </w:tc>
      </w:tr>
      <w:tr>
        <w:tc>
          <w:tcPr>
            <w:tcW w:type="dxa" w:w="4320"/>
          </w:tcPr>
          <w:p>
            <w:r/>
            <w:r>
              <w:t>HBR.L</w:t>
            </w:r>
          </w:p>
        </w:tc>
        <w:tc>
          <w:tcPr>
            <w:tcW w:type="dxa" w:w="4320"/>
          </w:tcPr>
          <w:p>
            <w:r/>
            <w:r>
              <w:t>Harbour Energy</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Highly cyclical — profits are closely tied to the oil price. Shell and BP are among the largest companies in the FTSE 100. Revenue is partly in USD, so GBP/USD movements affect reported UK earnings.</w:t>
            </w:r>
          </w:p>
        </w:tc>
      </w:tr>
    </w:tbl>
    <w:p>
      <w:pPr>
        <w:pBdr>
          <w:bottom w:val="single" w:sz="6" w:space="1" w:color="CCCCCC"/>
        </w:pBdr>
      </w:pPr>
    </w:p>
    <w:p>
      <w:pPr>
        <w:pStyle w:val="Heading3"/>
      </w:pPr>
      <w:bookmarkStart w:id="70" w:name="mh70"/>
      <w:r>
        <w:t>Financials</w:t>
      </w:r>
      <w:bookmarkEnd w:id="70"/>
    </w:p>
    <w:p>
      <w:r>
        <w:t>Banks, insurance companies, asset managers, and financial exchanges.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Ticker</w:t>
            </w:r>
          </w:p>
        </w:tc>
        <w:tc>
          <w:tcPr>
            <w:tcW w:type="dxa" w:w="4320"/>
            <w:shd w:val="clear" w:color="auto" w:fill="E7ECF3"/>
          </w:tcPr>
          <w:p>
            <w:r>
              <w:rPr>
                <w:b/>
              </w:rPr>
            </w:r>
            <w:r>
              <w:rPr>
                <w:b/>
              </w:rPr>
            </w:r>
            <w:r>
              <w:rPr>
                <w:b/>
              </w:rPr>
              <w:t>Company</w:t>
            </w:r>
          </w:p>
        </w:tc>
      </w:tr>
      <w:tr>
        <w:tc>
          <w:tcPr>
            <w:tcW w:type="dxa" w:w="4320"/>
          </w:tcPr>
          <w:p>
            <w:r/>
            <w:r>
              <w:t>HSBA.L</w:t>
            </w:r>
          </w:p>
        </w:tc>
        <w:tc>
          <w:tcPr>
            <w:tcW w:type="dxa" w:w="4320"/>
          </w:tcPr>
          <w:p>
            <w:r/>
            <w:r>
              <w:t>HSBC</w:t>
            </w:r>
          </w:p>
        </w:tc>
      </w:tr>
      <w:tr>
        <w:tc>
          <w:tcPr>
            <w:tcW w:type="dxa" w:w="4320"/>
          </w:tcPr>
          <w:p>
            <w:r/>
            <w:r>
              <w:t>LLOY.L</w:t>
            </w:r>
          </w:p>
        </w:tc>
        <w:tc>
          <w:tcPr>
            <w:tcW w:type="dxa" w:w="4320"/>
          </w:tcPr>
          <w:p>
            <w:r/>
            <w:r>
              <w:t>Lloyds Banking Group</w:t>
            </w:r>
          </w:p>
        </w:tc>
      </w:tr>
      <w:tr>
        <w:tc>
          <w:tcPr>
            <w:tcW w:type="dxa" w:w="4320"/>
          </w:tcPr>
          <w:p>
            <w:r/>
            <w:r>
              <w:t>BARC.L</w:t>
            </w:r>
          </w:p>
        </w:tc>
        <w:tc>
          <w:tcPr>
            <w:tcW w:type="dxa" w:w="4320"/>
          </w:tcPr>
          <w:p>
            <w:r/>
            <w:r>
              <w:t>Barclays</w:t>
            </w:r>
          </w:p>
        </w:tc>
      </w:tr>
      <w:tr>
        <w:tc>
          <w:tcPr>
            <w:tcW w:type="dxa" w:w="4320"/>
          </w:tcPr>
          <w:p>
            <w:r/>
            <w:r>
              <w:t>NWG.L</w:t>
            </w:r>
          </w:p>
        </w:tc>
        <w:tc>
          <w:tcPr>
            <w:tcW w:type="dxa" w:w="4320"/>
          </w:tcPr>
          <w:p>
            <w:r/>
            <w:r>
              <w:t>NatWest Group</w:t>
            </w:r>
          </w:p>
        </w:tc>
      </w:tr>
      <w:tr>
        <w:tc>
          <w:tcPr>
            <w:tcW w:type="dxa" w:w="4320"/>
          </w:tcPr>
          <w:p>
            <w:r/>
            <w:r>
              <w:t>LSEG.L</w:t>
            </w:r>
          </w:p>
        </w:tc>
        <w:tc>
          <w:tcPr>
            <w:tcW w:type="dxa" w:w="4320"/>
          </w:tcPr>
          <w:p>
            <w:r/>
            <w:r>
              <w:t>London Stock Exchange Group</w:t>
            </w:r>
          </w:p>
        </w:tc>
      </w:tr>
      <w:tr>
        <w:tc>
          <w:tcPr>
            <w:tcW w:type="dxa" w:w="4320"/>
          </w:tcPr>
          <w:p>
            <w:r/>
            <w:r>
              <w:t>STAN.L</w:t>
            </w:r>
          </w:p>
        </w:tc>
        <w:tc>
          <w:tcPr>
            <w:tcW w:type="dxa" w:w="4320"/>
          </w:tcPr>
          <w:p>
            <w:r/>
            <w:r>
              <w:t>Standard Chartered</w:t>
            </w:r>
          </w:p>
        </w:tc>
      </w:tr>
      <w:tr>
        <w:tc>
          <w:tcPr>
            <w:tcW w:type="dxa" w:w="4320"/>
          </w:tcPr>
          <w:p>
            <w:r/>
            <w:r>
              <w:t>AV.L</w:t>
            </w:r>
          </w:p>
        </w:tc>
        <w:tc>
          <w:tcPr>
            <w:tcW w:type="dxa" w:w="4320"/>
          </w:tcPr>
          <w:p>
            <w:r/>
            <w:r>
              <w:t>Aviva</w:t>
            </w:r>
          </w:p>
        </w:tc>
      </w:tr>
      <w:tr>
        <w:tc>
          <w:tcPr>
            <w:tcW w:type="dxa" w:w="4320"/>
          </w:tcPr>
          <w:p>
            <w:r/>
            <w:r>
              <w:t>LGEN.L</w:t>
            </w:r>
          </w:p>
        </w:tc>
        <w:tc>
          <w:tcPr>
            <w:tcW w:type="dxa" w:w="4320"/>
          </w:tcPr>
          <w:p>
            <w:r/>
            <w:r>
              <w:t>Legal &amp; General</w:t>
            </w:r>
          </w:p>
        </w:tc>
      </w:tr>
      <w:tr>
        <w:tc>
          <w:tcPr>
            <w:tcW w:type="dxa" w:w="4320"/>
          </w:tcPr>
          <w:p>
            <w:r/>
            <w:r>
              <w:t>ADM.L</w:t>
            </w:r>
          </w:p>
        </w:tc>
        <w:tc>
          <w:tcPr>
            <w:tcW w:type="dxa" w:w="4320"/>
          </w:tcPr>
          <w:p>
            <w:r/>
            <w:r>
              <w:t>Admiral Group</w:t>
            </w:r>
          </w:p>
        </w:tc>
      </w:tr>
      <w:tr>
        <w:tc>
          <w:tcPr>
            <w:tcW w:type="dxa" w:w="4320"/>
          </w:tcPr>
          <w:p>
            <w:r/>
            <w:r>
              <w:t>MNG.L</w:t>
            </w:r>
          </w:p>
        </w:tc>
        <w:tc>
          <w:tcPr>
            <w:tcW w:type="dxa" w:w="4320"/>
          </w:tcPr>
          <w:p>
            <w:r/>
            <w:r>
              <w:t>M&amp;G</w:t>
            </w:r>
          </w:p>
        </w:tc>
      </w:tr>
      <w:tr>
        <w:tc>
          <w:tcPr>
            <w:tcW w:type="dxa" w:w="4320"/>
          </w:tcPr>
          <w:p>
            <w:r/>
            <w:r>
              <w:t>PRU.L</w:t>
            </w:r>
          </w:p>
        </w:tc>
        <w:tc>
          <w:tcPr>
            <w:tcW w:type="dxa" w:w="4320"/>
          </w:tcPr>
          <w:p>
            <w:r/>
            <w:r>
              <w:t>Prudential</w:t>
            </w:r>
          </w:p>
        </w:tc>
      </w:tr>
      <w:tr>
        <w:tc>
          <w:tcPr>
            <w:tcW w:type="dxa" w:w="4320"/>
          </w:tcPr>
          <w:p>
            <w:r/>
            <w:r>
              <w:t>SDR.L</w:t>
            </w:r>
          </w:p>
        </w:tc>
        <w:tc>
          <w:tcPr>
            <w:tcW w:type="dxa" w:w="4320"/>
          </w:tcPr>
          <w:p>
            <w:r/>
            <w:r>
              <w:t>Schroders</w:t>
            </w:r>
          </w:p>
        </w:tc>
      </w:tr>
      <w:tr>
        <w:tc>
          <w:tcPr>
            <w:tcW w:type="dxa" w:w="4320"/>
          </w:tcPr>
          <w:p>
            <w:r/>
            <w:r>
              <w:t>III.L</w:t>
            </w:r>
          </w:p>
        </w:tc>
        <w:tc>
          <w:tcPr>
            <w:tcW w:type="dxa" w:w="4320"/>
          </w:tcPr>
          <w:p>
            <w:r/>
            <w:r>
              <w:t>3i Group</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Banks benefit from rising interest rates (higher margins) but face credit risk in recessions. Insurance companies are sensitive to claims inflation and investment yields. P/B ratio is particularly relevant for banks; P/E less so.</w:t>
            </w:r>
          </w:p>
        </w:tc>
      </w:tr>
    </w:tbl>
    <w:p>
      <w:pPr>
        <w:pBdr>
          <w:bottom w:val="single" w:sz="6" w:space="1" w:color="CCCCCC"/>
        </w:pBdr>
      </w:pPr>
    </w:p>
    <w:p>
      <w:pPr>
        <w:pStyle w:val="Heading3"/>
      </w:pPr>
      <w:bookmarkStart w:id="71" w:name="mh71"/>
      <w:r>
        <w:t>Industrials</w:t>
      </w:r>
      <w:bookmarkEnd w:id="71"/>
    </w:p>
    <w:p>
      <w:r>
        <w:t>Aerospace and defence, engineering, construction, and business services.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Ticker</w:t>
            </w:r>
          </w:p>
        </w:tc>
        <w:tc>
          <w:tcPr>
            <w:tcW w:type="dxa" w:w="4320"/>
            <w:shd w:val="clear" w:color="auto" w:fill="E7ECF3"/>
          </w:tcPr>
          <w:p>
            <w:r>
              <w:rPr>
                <w:b/>
              </w:rPr>
            </w:r>
            <w:r>
              <w:rPr>
                <w:b/>
              </w:rPr>
            </w:r>
            <w:r>
              <w:rPr>
                <w:b/>
              </w:rPr>
              <w:t>Company</w:t>
            </w:r>
          </w:p>
        </w:tc>
      </w:tr>
      <w:tr>
        <w:tc>
          <w:tcPr>
            <w:tcW w:type="dxa" w:w="4320"/>
          </w:tcPr>
          <w:p>
            <w:r/>
            <w:r>
              <w:t>RR.L</w:t>
            </w:r>
          </w:p>
        </w:tc>
        <w:tc>
          <w:tcPr>
            <w:tcW w:type="dxa" w:w="4320"/>
          </w:tcPr>
          <w:p>
            <w:r/>
            <w:r>
              <w:t>Rolls-Royce</w:t>
            </w:r>
          </w:p>
        </w:tc>
      </w:tr>
      <w:tr>
        <w:tc>
          <w:tcPr>
            <w:tcW w:type="dxa" w:w="4320"/>
          </w:tcPr>
          <w:p>
            <w:r/>
            <w:r>
              <w:t>BA.L</w:t>
            </w:r>
          </w:p>
        </w:tc>
        <w:tc>
          <w:tcPr>
            <w:tcW w:type="dxa" w:w="4320"/>
          </w:tcPr>
          <w:p>
            <w:r/>
            <w:r>
              <w:t>BAE Systems</w:t>
            </w:r>
          </w:p>
        </w:tc>
      </w:tr>
      <w:tr>
        <w:tc>
          <w:tcPr>
            <w:tcW w:type="dxa" w:w="4320"/>
          </w:tcPr>
          <w:p>
            <w:r/>
            <w:r>
              <w:t>AHT.L</w:t>
            </w:r>
          </w:p>
        </w:tc>
        <w:tc>
          <w:tcPr>
            <w:tcW w:type="dxa" w:w="4320"/>
          </w:tcPr>
          <w:p>
            <w:r/>
            <w:r>
              <w:t>Ashtead Group</w:t>
            </w:r>
          </w:p>
        </w:tc>
      </w:tr>
      <w:tr>
        <w:tc>
          <w:tcPr>
            <w:tcW w:type="dxa" w:w="4320"/>
          </w:tcPr>
          <w:p>
            <w:r/>
            <w:r>
              <w:t>IMI.L</w:t>
            </w:r>
          </w:p>
        </w:tc>
        <w:tc>
          <w:tcPr>
            <w:tcW w:type="dxa" w:w="4320"/>
          </w:tcPr>
          <w:p>
            <w:r/>
            <w:r>
              <w:t>IMI</w:t>
            </w:r>
          </w:p>
        </w:tc>
      </w:tr>
      <w:tr>
        <w:tc>
          <w:tcPr>
            <w:tcW w:type="dxa" w:w="4320"/>
          </w:tcPr>
          <w:p>
            <w:r/>
            <w:r>
              <w:t>WEIR.L</w:t>
            </w:r>
          </w:p>
        </w:tc>
        <w:tc>
          <w:tcPr>
            <w:tcW w:type="dxa" w:w="4320"/>
          </w:tcPr>
          <w:p>
            <w:r/>
            <w:r>
              <w:t>Weir Group</w:t>
            </w:r>
          </w:p>
        </w:tc>
      </w:tr>
      <w:tr>
        <w:tc>
          <w:tcPr>
            <w:tcW w:type="dxa" w:w="4320"/>
          </w:tcPr>
          <w:p>
            <w:r/>
            <w:r>
              <w:t>RTO.L</w:t>
            </w:r>
          </w:p>
        </w:tc>
        <w:tc>
          <w:tcPr>
            <w:tcW w:type="dxa" w:w="4320"/>
          </w:tcPr>
          <w:p>
            <w:r/>
            <w:r>
              <w:t>Rentokil Initial</w:t>
            </w:r>
          </w:p>
        </w:tc>
      </w:tr>
      <w:tr>
        <w:tc>
          <w:tcPr>
            <w:tcW w:type="dxa" w:w="4320"/>
          </w:tcPr>
          <w:p>
            <w:r/>
            <w:r>
              <w:t>ITRK.L</w:t>
            </w:r>
          </w:p>
        </w:tc>
        <w:tc>
          <w:tcPr>
            <w:tcW w:type="dxa" w:w="4320"/>
          </w:tcPr>
          <w:p>
            <w:r/>
            <w:r>
              <w:t>Intertek Group</w:t>
            </w:r>
          </w:p>
        </w:tc>
      </w:tr>
      <w:tr>
        <w:tc>
          <w:tcPr>
            <w:tcW w:type="dxa" w:w="4320"/>
          </w:tcPr>
          <w:p>
            <w:r/>
            <w:r>
              <w:t>MRO.L</w:t>
            </w:r>
          </w:p>
        </w:tc>
        <w:tc>
          <w:tcPr>
            <w:tcW w:type="dxa" w:w="4320"/>
          </w:tcPr>
          <w:p>
            <w:r/>
            <w:r>
              <w:t>Melrose Industries</w:t>
            </w:r>
          </w:p>
        </w:tc>
      </w:tr>
      <w:tr>
        <w:tc>
          <w:tcPr>
            <w:tcW w:type="dxa" w:w="4320"/>
          </w:tcPr>
          <w:p>
            <w:r/>
            <w:r>
              <w:t>EXPN.L</w:t>
            </w:r>
          </w:p>
        </w:tc>
        <w:tc>
          <w:tcPr>
            <w:tcW w:type="dxa" w:w="4320"/>
          </w:tcPr>
          <w:p>
            <w:r/>
            <w:r>
              <w:t>Experian</w:t>
            </w:r>
          </w:p>
        </w:tc>
      </w:tr>
      <w:tr>
        <w:tc>
          <w:tcPr>
            <w:tcW w:type="dxa" w:w="4320"/>
          </w:tcPr>
          <w:p>
            <w:r/>
            <w:r>
              <w:t>HLMA.L</w:t>
            </w:r>
          </w:p>
        </w:tc>
        <w:tc>
          <w:tcPr>
            <w:tcW w:type="dxa" w:w="4320"/>
          </w:tcPr>
          <w:p>
            <w:r/>
            <w:r>
              <w:t>Halma</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Highly diverse. Defence names like BAE are increasingly seen as defensive given rising government spending. Cyclical industrials like Ashtead (equipment rental) are closely tied to construction activity. Halma is a quality compounder of safety and environmental technology.</w:t>
            </w:r>
          </w:p>
        </w:tc>
      </w:tr>
    </w:tbl>
    <w:p>
      <w:pPr>
        <w:pBdr>
          <w:bottom w:val="single" w:sz="6" w:space="1" w:color="CCCCCC"/>
        </w:pBdr>
      </w:pPr>
    </w:p>
    <w:p>
      <w:pPr>
        <w:pStyle w:val="Heading3"/>
      </w:pPr>
      <w:bookmarkStart w:id="72" w:name="mh72"/>
      <w:r>
        <w:t>Materials</w:t>
      </w:r>
      <w:bookmarkEnd w:id="72"/>
    </w:p>
    <w:p>
      <w:r>
        <w:t>Mining companies producing metals, minerals, and chemicals.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Ticker</w:t>
            </w:r>
          </w:p>
        </w:tc>
        <w:tc>
          <w:tcPr>
            <w:tcW w:type="dxa" w:w="4320"/>
            <w:shd w:val="clear" w:color="auto" w:fill="E7ECF3"/>
          </w:tcPr>
          <w:p>
            <w:r>
              <w:rPr>
                <w:b/>
              </w:rPr>
            </w:r>
            <w:r>
              <w:rPr>
                <w:b/>
              </w:rPr>
            </w:r>
            <w:r>
              <w:rPr>
                <w:b/>
              </w:rPr>
              <w:t>Company</w:t>
            </w:r>
          </w:p>
        </w:tc>
      </w:tr>
      <w:tr>
        <w:tc>
          <w:tcPr>
            <w:tcW w:type="dxa" w:w="4320"/>
          </w:tcPr>
          <w:p>
            <w:r/>
            <w:r>
              <w:t>RIO.L</w:t>
            </w:r>
          </w:p>
        </w:tc>
        <w:tc>
          <w:tcPr>
            <w:tcW w:type="dxa" w:w="4320"/>
          </w:tcPr>
          <w:p>
            <w:r/>
            <w:r>
              <w:t>Rio Tinto</w:t>
            </w:r>
          </w:p>
        </w:tc>
      </w:tr>
      <w:tr>
        <w:tc>
          <w:tcPr>
            <w:tcW w:type="dxa" w:w="4320"/>
          </w:tcPr>
          <w:p>
            <w:r/>
            <w:r>
              <w:t>GLEN.L</w:t>
            </w:r>
          </w:p>
        </w:tc>
        <w:tc>
          <w:tcPr>
            <w:tcW w:type="dxa" w:w="4320"/>
          </w:tcPr>
          <w:p>
            <w:r/>
            <w:r>
              <w:t>Glencore</w:t>
            </w:r>
          </w:p>
        </w:tc>
      </w:tr>
      <w:tr>
        <w:tc>
          <w:tcPr>
            <w:tcW w:type="dxa" w:w="4320"/>
          </w:tcPr>
          <w:p>
            <w:r/>
            <w:r>
              <w:t>AAL.L</w:t>
            </w:r>
          </w:p>
        </w:tc>
        <w:tc>
          <w:tcPr>
            <w:tcW w:type="dxa" w:w="4320"/>
          </w:tcPr>
          <w:p>
            <w:r/>
            <w:r>
              <w:t>Anglo American</w:t>
            </w:r>
          </w:p>
        </w:tc>
      </w:tr>
      <w:tr>
        <w:tc>
          <w:tcPr>
            <w:tcW w:type="dxa" w:w="4320"/>
          </w:tcPr>
          <w:p>
            <w:r/>
            <w:r>
              <w:t>ANTO.L</w:t>
            </w:r>
          </w:p>
        </w:tc>
        <w:tc>
          <w:tcPr>
            <w:tcW w:type="dxa" w:w="4320"/>
          </w:tcPr>
          <w:p>
            <w:r/>
            <w:r>
              <w:t>Antofagasta</w:t>
            </w:r>
          </w:p>
        </w:tc>
      </w:tr>
      <w:tr>
        <w:tc>
          <w:tcPr>
            <w:tcW w:type="dxa" w:w="4320"/>
          </w:tcPr>
          <w:p>
            <w:r/>
            <w:r>
              <w:t>FRES.L</w:t>
            </w:r>
          </w:p>
        </w:tc>
        <w:tc>
          <w:tcPr>
            <w:tcW w:type="dxa" w:w="4320"/>
          </w:tcPr>
          <w:p>
            <w:r/>
            <w:r>
              <w:t>Fresnillo</w:t>
            </w:r>
          </w:p>
        </w:tc>
      </w:tr>
      <w:tr>
        <w:tc>
          <w:tcPr>
            <w:tcW w:type="dxa" w:w="4320"/>
          </w:tcPr>
          <w:p>
            <w:r/>
            <w:r>
              <w:t>MNDI.L</w:t>
            </w:r>
          </w:p>
        </w:tc>
        <w:tc>
          <w:tcPr>
            <w:tcW w:type="dxa" w:w="4320"/>
          </w:tcPr>
          <w:p>
            <w:r/>
            <w:r>
              <w:t>Mondi</w:t>
            </w:r>
          </w:p>
        </w:tc>
      </w:tr>
      <w:tr>
        <w:tc>
          <w:tcPr>
            <w:tcW w:type="dxa" w:w="4320"/>
          </w:tcPr>
          <w:p>
            <w:r/>
            <w:r>
              <w:t>CRDA.L</w:t>
            </w:r>
          </w:p>
        </w:tc>
        <w:tc>
          <w:tcPr>
            <w:tcW w:type="dxa" w:w="4320"/>
          </w:tcPr>
          <w:p>
            <w:r/>
            <w:r>
              <w:t>Croda International</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Highly cyclical. Profits driven by commodity prices (iron ore, copper, gold, silver). Rio Tinto and Glencore are among the world's largest mining groups. CRDA and MNDI are specialty chemicals/packaging — less cyclical.</w:t>
            </w:r>
          </w:p>
        </w:tc>
      </w:tr>
    </w:tbl>
    <w:p>
      <w:pPr>
        <w:pBdr>
          <w:bottom w:val="single" w:sz="6" w:space="1" w:color="CCCCCC"/>
        </w:pBdr>
      </w:pPr>
    </w:p>
    <w:p>
      <w:pPr>
        <w:pStyle w:val="Heading3"/>
      </w:pPr>
      <w:bookmarkStart w:id="73" w:name="mh73"/>
      <w:r>
        <w:t>Consumer Discretionary</w:t>
      </w:r>
      <w:bookmarkEnd w:id="73"/>
    </w:p>
    <w:p>
      <w:r>
        <w:t>Non-essential consumer goods and services — what people buy when they have money to spare.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Ticker</w:t>
            </w:r>
          </w:p>
        </w:tc>
        <w:tc>
          <w:tcPr>
            <w:tcW w:type="dxa" w:w="4320"/>
            <w:shd w:val="clear" w:color="auto" w:fill="E7ECF3"/>
          </w:tcPr>
          <w:p>
            <w:r>
              <w:rPr>
                <w:b/>
              </w:rPr>
            </w:r>
            <w:r>
              <w:rPr>
                <w:b/>
              </w:rPr>
            </w:r>
            <w:r>
              <w:rPr>
                <w:b/>
              </w:rPr>
              <w:t>Company</w:t>
            </w:r>
          </w:p>
        </w:tc>
      </w:tr>
      <w:tr>
        <w:tc>
          <w:tcPr>
            <w:tcW w:type="dxa" w:w="4320"/>
          </w:tcPr>
          <w:p>
            <w:r/>
            <w:r>
              <w:t>CPG.L</w:t>
            </w:r>
          </w:p>
        </w:tc>
        <w:tc>
          <w:tcPr>
            <w:tcW w:type="dxa" w:w="4320"/>
          </w:tcPr>
          <w:p>
            <w:r/>
            <w:r>
              <w:t>Compass Group</w:t>
            </w:r>
          </w:p>
        </w:tc>
      </w:tr>
      <w:tr>
        <w:tc>
          <w:tcPr>
            <w:tcW w:type="dxa" w:w="4320"/>
          </w:tcPr>
          <w:p>
            <w:r/>
            <w:r>
              <w:t>NXT.L</w:t>
            </w:r>
          </w:p>
        </w:tc>
        <w:tc>
          <w:tcPr>
            <w:tcW w:type="dxa" w:w="4320"/>
          </w:tcPr>
          <w:p>
            <w:r/>
            <w:r>
              <w:t>Next</w:t>
            </w:r>
          </w:p>
        </w:tc>
      </w:tr>
      <w:tr>
        <w:tc>
          <w:tcPr>
            <w:tcW w:type="dxa" w:w="4320"/>
          </w:tcPr>
          <w:p>
            <w:r/>
            <w:r>
              <w:t>IHG.L</w:t>
            </w:r>
          </w:p>
        </w:tc>
        <w:tc>
          <w:tcPr>
            <w:tcW w:type="dxa" w:w="4320"/>
          </w:tcPr>
          <w:p>
            <w:r/>
            <w:r>
              <w:t>InterContinental Hotels Group</w:t>
            </w:r>
          </w:p>
        </w:tc>
      </w:tr>
      <w:tr>
        <w:tc>
          <w:tcPr>
            <w:tcW w:type="dxa" w:w="4320"/>
          </w:tcPr>
          <w:p>
            <w:r/>
            <w:r>
              <w:t>GAW.L</w:t>
            </w:r>
          </w:p>
        </w:tc>
        <w:tc>
          <w:tcPr>
            <w:tcW w:type="dxa" w:w="4320"/>
          </w:tcPr>
          <w:p>
            <w:r/>
            <w:r>
              <w:t>Games Workshop</w:t>
            </w:r>
          </w:p>
        </w:tc>
      </w:tr>
      <w:tr>
        <w:tc>
          <w:tcPr>
            <w:tcW w:type="dxa" w:w="4320"/>
          </w:tcPr>
          <w:p>
            <w:r/>
            <w:r>
              <w:t>KGF.L</w:t>
            </w:r>
          </w:p>
        </w:tc>
        <w:tc>
          <w:tcPr>
            <w:tcW w:type="dxa" w:w="4320"/>
          </w:tcPr>
          <w:p>
            <w:r/>
            <w:r>
              <w:t>Kingfisher</w:t>
            </w:r>
          </w:p>
        </w:tc>
      </w:tr>
      <w:tr>
        <w:tc>
          <w:tcPr>
            <w:tcW w:type="dxa" w:w="4320"/>
          </w:tcPr>
          <w:p>
            <w:r/>
            <w:r>
              <w:t>JD.L</w:t>
            </w:r>
          </w:p>
        </w:tc>
        <w:tc>
          <w:tcPr>
            <w:tcW w:type="dxa" w:w="4320"/>
          </w:tcPr>
          <w:p>
            <w:r/>
            <w:r>
              <w:t>JD Sports Fashion</w:t>
            </w:r>
          </w:p>
        </w:tc>
      </w:tr>
      <w:tr>
        <w:tc>
          <w:tcPr>
            <w:tcW w:type="dxa" w:w="4320"/>
          </w:tcPr>
          <w:p>
            <w:r/>
            <w:r>
              <w:t>MKS.L</w:t>
            </w:r>
          </w:p>
        </w:tc>
        <w:tc>
          <w:tcPr>
            <w:tcW w:type="dxa" w:w="4320"/>
          </w:tcPr>
          <w:p>
            <w:r/>
            <w:r>
              <w:t>Marks &amp; Spencer</w:t>
            </w:r>
          </w:p>
        </w:tc>
      </w:tr>
      <w:tr>
        <w:tc>
          <w:tcPr>
            <w:tcW w:type="dxa" w:w="4320"/>
          </w:tcPr>
          <w:p>
            <w:r/>
            <w:r>
              <w:t>WTB.L</w:t>
            </w:r>
          </w:p>
        </w:tc>
        <w:tc>
          <w:tcPr>
            <w:tcW w:type="dxa" w:w="4320"/>
          </w:tcPr>
          <w:p>
            <w:r/>
            <w:r>
              <w:t>Whitbread</w:t>
            </w:r>
          </w:p>
        </w:tc>
      </w:tr>
      <w:tr>
        <w:tc>
          <w:tcPr>
            <w:tcW w:type="dxa" w:w="4320"/>
          </w:tcPr>
          <w:p>
            <w:r/>
            <w:r>
              <w:t>EZJ.L</w:t>
            </w:r>
          </w:p>
        </w:tc>
        <w:tc>
          <w:tcPr>
            <w:tcW w:type="dxa" w:w="4320"/>
          </w:tcPr>
          <w:p>
            <w:r/>
            <w:r>
              <w:t>easyJet</w:t>
            </w:r>
          </w:p>
        </w:tc>
      </w:tr>
      <w:tr>
        <w:tc>
          <w:tcPr>
            <w:tcW w:type="dxa" w:w="4320"/>
          </w:tcPr>
          <w:p>
            <w:r/>
            <w:r>
              <w:t>ENT.L</w:t>
            </w:r>
          </w:p>
        </w:tc>
        <w:tc>
          <w:tcPr>
            <w:tcW w:type="dxa" w:w="4320"/>
          </w:tcPr>
          <w:p>
            <w:r/>
            <w:r>
              <w:t>Entain</w:t>
            </w:r>
          </w:p>
        </w:tc>
      </w:tr>
      <w:tr>
        <w:tc>
          <w:tcPr>
            <w:tcW w:type="dxa" w:w="4320"/>
          </w:tcPr>
          <w:p>
            <w:r/>
            <w:r>
              <w:t>FLTR.L</w:t>
            </w:r>
          </w:p>
        </w:tc>
        <w:tc>
          <w:tcPr>
            <w:tcW w:type="dxa" w:w="4320"/>
          </w:tcPr>
          <w:p>
            <w:r/>
            <w:r>
              <w:t>Flutter Entertainment</w:t>
            </w:r>
          </w:p>
        </w:tc>
      </w:tr>
      <w:tr>
        <w:tc>
          <w:tcPr>
            <w:tcW w:type="dxa" w:w="4320"/>
          </w:tcPr>
          <w:p>
            <w:r/>
            <w:r>
              <w:t>PSN.L</w:t>
            </w:r>
          </w:p>
        </w:tc>
        <w:tc>
          <w:tcPr>
            <w:tcW w:type="dxa" w:w="4320"/>
          </w:tcPr>
          <w:p>
            <w:r/>
            <w:r>
              <w:t>Persimmon</w:t>
            </w:r>
          </w:p>
        </w:tc>
      </w:tr>
      <w:tr>
        <w:tc>
          <w:tcPr>
            <w:tcW w:type="dxa" w:w="4320"/>
          </w:tcPr>
          <w:p>
            <w:r/>
            <w:r>
              <w:t>TW.L</w:t>
            </w:r>
          </w:p>
        </w:tc>
        <w:tc>
          <w:tcPr>
            <w:tcW w:type="dxa" w:w="4320"/>
          </w:tcPr>
          <w:p>
            <w:r/>
            <w:r>
              <w:t>Taylor Wimpey</w:t>
            </w:r>
          </w:p>
        </w:tc>
      </w:tr>
      <w:tr>
        <w:tc>
          <w:tcPr>
            <w:tcW w:type="dxa" w:w="4320"/>
          </w:tcPr>
          <w:p>
            <w:r/>
            <w:r>
              <w:t>WPP.L</w:t>
            </w:r>
          </w:p>
        </w:tc>
        <w:tc>
          <w:tcPr>
            <w:tcW w:type="dxa" w:w="4320"/>
          </w:tcPr>
          <w:p>
            <w:r/>
            <w:r>
              <w:t>WPP</w:t>
            </w:r>
          </w:p>
        </w:tc>
      </w:tr>
      <w:tr>
        <w:tc>
          <w:tcPr>
            <w:tcW w:type="dxa" w:w="4320"/>
          </w:tcPr>
          <w:p>
            <w:r/>
            <w:r>
              <w:t>PSON.L</w:t>
            </w:r>
          </w:p>
        </w:tc>
        <w:tc>
          <w:tcPr>
            <w:tcW w:type="dxa" w:w="4320"/>
          </w:tcPr>
          <w:p>
            <w:r/>
            <w:r>
              <w:t>Pearson</w:t>
            </w:r>
          </w:p>
        </w:tc>
      </w:tr>
      <w:tr>
        <w:tc>
          <w:tcPr>
            <w:tcW w:type="dxa" w:w="4320"/>
          </w:tcPr>
          <w:p>
            <w:r/>
            <w:r>
              <w:t>IAG.L</w:t>
            </w:r>
          </w:p>
        </w:tc>
        <w:tc>
          <w:tcPr>
            <w:tcW w:type="dxa" w:w="4320"/>
          </w:tcPr>
          <w:p>
            <w:r/>
            <w:r>
              <w:t>International Airlines Group (British Airways/Iberia)</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Sensitive to consumer confidence and disposable income. Performs well in economic expansions; suffers in downturns. Housebuilders (Persimmon, Taylor Wimpey) are highly sensitive to mortgage rates, airlines (easyJet, IAG) to fuel costs and travel demand, and media/advertising names (WPP, Pearson) to corporate and education spending.</w:t>
            </w:r>
          </w:p>
        </w:tc>
      </w:tr>
    </w:tbl>
    <w:p>
      <w:pPr>
        <w:pBdr>
          <w:bottom w:val="single" w:sz="6" w:space="1" w:color="CCCCCC"/>
        </w:pBdr>
      </w:pPr>
    </w:p>
    <w:p>
      <w:pPr>
        <w:pStyle w:val="Heading3"/>
      </w:pPr>
      <w:bookmarkStart w:id="74" w:name="mh74"/>
      <w:r>
        <w:t>Consumer Staples</w:t>
      </w:r>
      <w:bookmarkEnd w:id="74"/>
    </w:p>
    <w:p>
      <w:r>
        <w:t>Essential everyday goods — food, beverages, household products, tobacco.</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Ticker</w:t>
            </w:r>
          </w:p>
        </w:tc>
        <w:tc>
          <w:tcPr>
            <w:tcW w:type="dxa" w:w="4320"/>
            <w:shd w:val="clear" w:color="auto" w:fill="E7ECF3"/>
          </w:tcPr>
          <w:p>
            <w:r>
              <w:rPr>
                <w:b/>
              </w:rPr>
            </w:r>
            <w:r>
              <w:rPr>
                <w:b/>
              </w:rPr>
            </w:r>
            <w:r>
              <w:rPr>
                <w:b/>
              </w:rPr>
              <w:t>Company</w:t>
            </w:r>
          </w:p>
        </w:tc>
      </w:tr>
      <w:tr>
        <w:tc>
          <w:tcPr>
            <w:tcW w:type="dxa" w:w="4320"/>
          </w:tcPr>
          <w:p>
            <w:r/>
            <w:r>
              <w:t>BATS.L</w:t>
            </w:r>
          </w:p>
        </w:tc>
        <w:tc>
          <w:tcPr>
            <w:tcW w:type="dxa" w:w="4320"/>
          </w:tcPr>
          <w:p>
            <w:r/>
            <w:r>
              <w:t>British American Tobacco</w:t>
            </w:r>
          </w:p>
        </w:tc>
      </w:tr>
      <w:tr>
        <w:tc>
          <w:tcPr>
            <w:tcW w:type="dxa" w:w="4320"/>
          </w:tcPr>
          <w:p>
            <w:r/>
            <w:r>
              <w:t>ULVR.L</w:t>
            </w:r>
          </w:p>
        </w:tc>
        <w:tc>
          <w:tcPr>
            <w:tcW w:type="dxa" w:w="4320"/>
          </w:tcPr>
          <w:p>
            <w:r/>
            <w:r>
              <w:t>Unilever</w:t>
            </w:r>
          </w:p>
        </w:tc>
      </w:tr>
      <w:tr>
        <w:tc>
          <w:tcPr>
            <w:tcW w:type="dxa" w:w="4320"/>
          </w:tcPr>
          <w:p>
            <w:r/>
            <w:r>
              <w:t>RKT.L</w:t>
            </w:r>
          </w:p>
        </w:tc>
        <w:tc>
          <w:tcPr>
            <w:tcW w:type="dxa" w:w="4320"/>
          </w:tcPr>
          <w:p>
            <w:r/>
            <w:r>
              <w:t>Reckitt Benckiser</w:t>
            </w:r>
          </w:p>
        </w:tc>
      </w:tr>
      <w:tr>
        <w:tc>
          <w:tcPr>
            <w:tcW w:type="dxa" w:w="4320"/>
          </w:tcPr>
          <w:p>
            <w:r/>
            <w:r>
              <w:t>TSCO.L</w:t>
            </w:r>
          </w:p>
        </w:tc>
        <w:tc>
          <w:tcPr>
            <w:tcW w:type="dxa" w:w="4320"/>
          </w:tcPr>
          <w:p>
            <w:r/>
            <w:r>
              <w:t>Tesco</w:t>
            </w:r>
          </w:p>
        </w:tc>
      </w:tr>
      <w:tr>
        <w:tc>
          <w:tcPr>
            <w:tcW w:type="dxa" w:w="4320"/>
          </w:tcPr>
          <w:p>
            <w:r/>
            <w:r>
              <w:t>DGE.L</w:t>
            </w:r>
          </w:p>
        </w:tc>
        <w:tc>
          <w:tcPr>
            <w:tcW w:type="dxa" w:w="4320"/>
          </w:tcPr>
          <w:p>
            <w:r/>
            <w:r>
              <w:t>Diageo</w:t>
            </w:r>
          </w:p>
        </w:tc>
      </w:tr>
      <w:tr>
        <w:tc>
          <w:tcPr>
            <w:tcW w:type="dxa" w:w="4320"/>
          </w:tcPr>
          <w:p>
            <w:r/>
            <w:r>
              <w:t>IMB.L</w:t>
            </w:r>
          </w:p>
        </w:tc>
        <w:tc>
          <w:tcPr>
            <w:tcW w:type="dxa" w:w="4320"/>
          </w:tcPr>
          <w:p>
            <w:r/>
            <w:r>
              <w:t>Imperial Brands</w:t>
            </w:r>
          </w:p>
        </w:tc>
      </w:tr>
      <w:tr>
        <w:tc>
          <w:tcPr>
            <w:tcW w:type="dxa" w:w="4320"/>
          </w:tcPr>
          <w:p>
            <w:r/>
            <w:r>
              <w:t>SBRY.L</w:t>
            </w:r>
          </w:p>
        </w:tc>
        <w:tc>
          <w:tcPr>
            <w:tcW w:type="dxa" w:w="4320"/>
          </w:tcPr>
          <w:p>
            <w:r/>
            <w:r>
              <w:t>J Sainsbury</w:t>
            </w:r>
          </w:p>
        </w:tc>
      </w:tr>
      <w:tr>
        <w:tc>
          <w:tcPr>
            <w:tcW w:type="dxa" w:w="4320"/>
          </w:tcPr>
          <w:p>
            <w:r/>
            <w:r>
              <w:t>ABF.L</w:t>
            </w:r>
          </w:p>
        </w:tc>
        <w:tc>
          <w:tcPr>
            <w:tcW w:type="dxa" w:w="4320"/>
          </w:tcPr>
          <w:p>
            <w:r/>
            <w:r>
              <w:t>Associated British Foods</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Defensive — demand is stable regardless of the economic cycle. These companies often have strong brands and pricing power, leading to high and durable gross margins. A key safe-haven sector during downturns.</w:t>
            </w:r>
          </w:p>
        </w:tc>
      </w:tr>
    </w:tbl>
    <w:p>
      <w:pPr>
        <w:pBdr>
          <w:bottom w:val="single" w:sz="6" w:space="1" w:color="CCCCCC"/>
        </w:pBdr>
      </w:pPr>
    </w:p>
    <w:p>
      <w:pPr>
        <w:pStyle w:val="Heading3"/>
      </w:pPr>
      <w:bookmarkStart w:id="75" w:name="mh75"/>
      <w:r>
        <w:t>Health Care</w:t>
      </w:r>
      <w:bookmarkEnd w:id="75"/>
    </w:p>
    <w:p>
      <w:r>
        <w:t>Pharmaceuticals, biotechnology, and medical equipment companies.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Ticker</w:t>
            </w:r>
          </w:p>
        </w:tc>
        <w:tc>
          <w:tcPr>
            <w:tcW w:type="dxa" w:w="4320"/>
            <w:shd w:val="clear" w:color="auto" w:fill="E7ECF3"/>
          </w:tcPr>
          <w:p>
            <w:r>
              <w:rPr>
                <w:b/>
              </w:rPr>
            </w:r>
            <w:r>
              <w:rPr>
                <w:b/>
              </w:rPr>
            </w:r>
            <w:r>
              <w:rPr>
                <w:b/>
              </w:rPr>
              <w:t>Company</w:t>
            </w:r>
          </w:p>
        </w:tc>
      </w:tr>
      <w:tr>
        <w:tc>
          <w:tcPr>
            <w:tcW w:type="dxa" w:w="4320"/>
          </w:tcPr>
          <w:p>
            <w:r/>
            <w:r>
              <w:t>AZN.L</w:t>
            </w:r>
          </w:p>
        </w:tc>
        <w:tc>
          <w:tcPr>
            <w:tcW w:type="dxa" w:w="4320"/>
          </w:tcPr>
          <w:p>
            <w:r/>
            <w:r>
              <w:t>AstraZeneca</w:t>
            </w:r>
          </w:p>
        </w:tc>
      </w:tr>
      <w:tr>
        <w:tc>
          <w:tcPr>
            <w:tcW w:type="dxa" w:w="4320"/>
          </w:tcPr>
          <w:p>
            <w:r/>
            <w:r>
              <w:t>GSK.L</w:t>
            </w:r>
          </w:p>
        </w:tc>
        <w:tc>
          <w:tcPr>
            <w:tcW w:type="dxa" w:w="4320"/>
          </w:tcPr>
          <w:p>
            <w:r/>
            <w:r>
              <w:t>GSK (formerly GlaxoSmithKline)</w:t>
            </w:r>
          </w:p>
        </w:tc>
      </w:tr>
      <w:tr>
        <w:tc>
          <w:tcPr>
            <w:tcW w:type="dxa" w:w="4320"/>
          </w:tcPr>
          <w:p>
            <w:r/>
            <w:r>
              <w:t>HLN.L</w:t>
            </w:r>
          </w:p>
        </w:tc>
        <w:tc>
          <w:tcPr>
            <w:tcW w:type="dxa" w:w="4320"/>
          </w:tcPr>
          <w:p>
            <w:r/>
            <w:r>
              <w:t>Haleon</w:t>
            </w:r>
          </w:p>
        </w:tc>
      </w:tr>
      <w:tr>
        <w:tc>
          <w:tcPr>
            <w:tcW w:type="dxa" w:w="4320"/>
          </w:tcPr>
          <w:p>
            <w:r/>
            <w:r>
              <w:t>SN.L</w:t>
            </w:r>
          </w:p>
        </w:tc>
        <w:tc>
          <w:tcPr>
            <w:tcW w:type="dxa" w:w="4320"/>
          </w:tcPr>
          <w:p>
            <w:r/>
            <w:r>
              <w:t>Smith &amp; Nephew</w:t>
            </w:r>
          </w:p>
        </w:tc>
      </w:tr>
      <w:tr>
        <w:tc>
          <w:tcPr>
            <w:tcW w:type="dxa" w:w="4320"/>
          </w:tcPr>
          <w:p>
            <w:r/>
            <w:r>
              <w:t>HIK.L</w:t>
            </w:r>
          </w:p>
        </w:tc>
        <w:tc>
          <w:tcPr>
            <w:tcW w:type="dxa" w:w="4320"/>
          </w:tcPr>
          <w:p>
            <w:r/>
            <w:r>
              <w:t>Hikma Pharmaceuticals</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Defensive, driven by healthcare demand rather than economic cycles. AstraZeneca is the FTSE 100's largest company by market cap. Drug development timelines create binary risk events (trial success/failure). Patent cliffs (when blockbuster drugs lose patent protection) are a key risk.</w:t>
            </w:r>
          </w:p>
        </w:tc>
      </w:tr>
    </w:tbl>
    <w:p>
      <w:pPr>
        <w:pBdr>
          <w:bottom w:val="single" w:sz="6" w:space="1" w:color="CCCCCC"/>
        </w:pBdr>
      </w:pPr>
    </w:p>
    <w:p>
      <w:pPr>
        <w:pStyle w:val="Heading3"/>
      </w:pPr>
      <w:bookmarkStart w:id="76" w:name="mh76"/>
      <w:r>
        <w:t>Technology</w:t>
      </w:r>
      <w:bookmarkEnd w:id="76"/>
    </w:p>
    <w:p>
      <w:r>
        <w:t>Software, data analytics, online marketplaces, and IT services.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Ticker</w:t>
            </w:r>
          </w:p>
        </w:tc>
        <w:tc>
          <w:tcPr>
            <w:tcW w:type="dxa" w:w="4320"/>
            <w:shd w:val="clear" w:color="auto" w:fill="E7ECF3"/>
          </w:tcPr>
          <w:p>
            <w:r>
              <w:rPr>
                <w:b/>
              </w:rPr>
            </w:r>
            <w:r>
              <w:rPr>
                <w:b/>
              </w:rPr>
            </w:r>
            <w:r>
              <w:rPr>
                <w:b/>
              </w:rPr>
              <w:t>Company</w:t>
            </w:r>
          </w:p>
        </w:tc>
      </w:tr>
      <w:tr>
        <w:tc>
          <w:tcPr>
            <w:tcW w:type="dxa" w:w="4320"/>
          </w:tcPr>
          <w:p>
            <w:r/>
            <w:r>
              <w:t>REL.L</w:t>
            </w:r>
          </w:p>
        </w:tc>
        <w:tc>
          <w:tcPr>
            <w:tcW w:type="dxa" w:w="4320"/>
          </w:tcPr>
          <w:p>
            <w:r/>
            <w:r>
              <w:t>RELX</w:t>
            </w:r>
          </w:p>
        </w:tc>
      </w:tr>
      <w:tr>
        <w:tc>
          <w:tcPr>
            <w:tcW w:type="dxa" w:w="4320"/>
          </w:tcPr>
          <w:p>
            <w:r/>
            <w:r>
              <w:t>SGE.L</w:t>
            </w:r>
          </w:p>
        </w:tc>
        <w:tc>
          <w:tcPr>
            <w:tcW w:type="dxa" w:w="4320"/>
          </w:tcPr>
          <w:p>
            <w:r/>
            <w:r>
              <w:t>Sage Group</w:t>
            </w:r>
          </w:p>
        </w:tc>
      </w:tr>
      <w:tr>
        <w:tc>
          <w:tcPr>
            <w:tcW w:type="dxa" w:w="4320"/>
          </w:tcPr>
          <w:p>
            <w:r/>
            <w:r>
              <w:t>AUTO.L</w:t>
            </w:r>
          </w:p>
        </w:tc>
        <w:tc>
          <w:tcPr>
            <w:tcW w:type="dxa" w:w="4320"/>
          </w:tcPr>
          <w:p>
            <w:r/>
            <w:r>
              <w:t>Auto Trader Group</w:t>
            </w:r>
          </w:p>
        </w:tc>
      </w:tr>
      <w:tr>
        <w:tc>
          <w:tcPr>
            <w:tcW w:type="dxa" w:w="4320"/>
          </w:tcPr>
          <w:p>
            <w:r/>
            <w:r>
              <w:t>RMV.L</w:t>
            </w:r>
          </w:p>
        </w:tc>
        <w:tc>
          <w:tcPr>
            <w:tcW w:type="dxa" w:w="4320"/>
          </w:tcPr>
          <w:p>
            <w:r/>
            <w:r>
              <w:t>Rightmove</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The UK technology sector is smaller than the US equivalent. These companies tend to have high gross margins, recurring revenue models, and low capital requirements — qualities that lead to high Quality Scores. Valuations can be high given growth expectations; rising gilt yields are a particular headwind for growth stocks.</w:t>
            </w:r>
          </w:p>
        </w:tc>
      </w:tr>
    </w:tbl>
    <w:p>
      <w:pPr>
        <w:pBdr>
          <w:bottom w:val="single" w:sz="6" w:space="1" w:color="CCCCCC"/>
        </w:pBdr>
      </w:pPr>
    </w:p>
    <w:p>
      <w:pPr>
        <w:pStyle w:val="Heading3"/>
      </w:pPr>
      <w:bookmarkStart w:id="77" w:name="mh77"/>
      <w:r>
        <w:t>Telecommunications</w:t>
      </w:r>
      <w:bookmarkEnd w:id="77"/>
    </w:p>
    <w:p>
      <w:r>
        <w:t>Mobile and fixed-line communications services.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Ticker</w:t>
            </w:r>
          </w:p>
        </w:tc>
        <w:tc>
          <w:tcPr>
            <w:tcW w:type="dxa" w:w="4320"/>
            <w:shd w:val="clear" w:color="auto" w:fill="E7ECF3"/>
          </w:tcPr>
          <w:p>
            <w:r>
              <w:rPr>
                <w:b/>
              </w:rPr>
            </w:r>
            <w:r>
              <w:rPr>
                <w:b/>
              </w:rPr>
            </w:r>
            <w:r>
              <w:rPr>
                <w:b/>
              </w:rPr>
              <w:t>Company</w:t>
            </w:r>
          </w:p>
        </w:tc>
      </w:tr>
      <w:tr>
        <w:tc>
          <w:tcPr>
            <w:tcW w:type="dxa" w:w="4320"/>
          </w:tcPr>
          <w:p>
            <w:r/>
            <w:r>
              <w:t>VOD.L</w:t>
            </w:r>
          </w:p>
        </w:tc>
        <w:tc>
          <w:tcPr>
            <w:tcW w:type="dxa" w:w="4320"/>
          </w:tcPr>
          <w:p>
            <w:r/>
            <w:r>
              <w:t>Vodafone</w:t>
            </w:r>
          </w:p>
        </w:tc>
      </w:tr>
      <w:tr>
        <w:tc>
          <w:tcPr>
            <w:tcW w:type="dxa" w:w="4320"/>
          </w:tcPr>
          <w:p>
            <w:r/>
            <w:r>
              <w:t>BT-A.L</w:t>
            </w:r>
          </w:p>
        </w:tc>
        <w:tc>
          <w:tcPr>
            <w:tcW w:type="dxa" w:w="4320"/>
          </w:tcPr>
          <w:p>
            <w:r/>
            <w:r>
              <w:t>BT Group</w:t>
            </w:r>
          </w:p>
        </w:tc>
      </w:tr>
      <w:tr>
        <w:tc>
          <w:tcPr>
            <w:tcW w:type="dxa" w:w="4320"/>
          </w:tcPr>
          <w:p>
            <w:r/>
            <w:r>
              <w:t>AAF.L</w:t>
            </w:r>
          </w:p>
        </w:tc>
        <w:tc>
          <w:tcPr>
            <w:tcW w:type="dxa" w:w="4320"/>
          </w:tcPr>
          <w:p>
            <w:r/>
            <w:r>
              <w:t>Airtel Africa</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Capital-intensive (network infrastructure). Highly regulated. Historically high dividend payers but dividend sustainability depends on free cash flow. BT and Vodafone have both cut dividends in recent years following heavy investment cycles.</w:t>
            </w:r>
          </w:p>
        </w:tc>
      </w:tr>
    </w:tbl>
    <w:p>
      <w:pPr>
        <w:pBdr>
          <w:bottom w:val="single" w:sz="6" w:space="1" w:color="CCCCCC"/>
        </w:pBdr>
      </w:pPr>
    </w:p>
    <w:p>
      <w:pPr>
        <w:pStyle w:val="Heading3"/>
      </w:pPr>
      <w:bookmarkStart w:id="78" w:name="mh78"/>
      <w:r>
        <w:t>Utilities</w:t>
      </w:r>
      <w:bookmarkEnd w:id="78"/>
    </w:p>
    <w:p>
      <w:r>
        <w:t>Electricity generation, gas distribution, and water companies.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7ECF3"/>
          </w:tcPr>
          <w:p>
            <w:r>
              <w:rPr>
                <w:b/>
              </w:rPr>
            </w:r>
            <w:r>
              <w:rPr>
                <w:b/>
              </w:rPr>
            </w:r>
            <w:r>
              <w:rPr>
                <w:b/>
              </w:rPr>
              <w:t>Ticker</w:t>
            </w:r>
          </w:p>
        </w:tc>
        <w:tc>
          <w:tcPr>
            <w:tcW w:type="dxa" w:w="4320"/>
            <w:shd w:val="clear" w:color="auto" w:fill="E7ECF3"/>
          </w:tcPr>
          <w:p>
            <w:r>
              <w:rPr>
                <w:b/>
              </w:rPr>
            </w:r>
            <w:r>
              <w:rPr>
                <w:b/>
              </w:rPr>
            </w:r>
            <w:r>
              <w:rPr>
                <w:b/>
              </w:rPr>
              <w:t>Company</w:t>
            </w:r>
          </w:p>
        </w:tc>
      </w:tr>
      <w:tr>
        <w:tc>
          <w:tcPr>
            <w:tcW w:type="dxa" w:w="4320"/>
          </w:tcPr>
          <w:p>
            <w:r/>
            <w:r>
              <w:t>NG.L</w:t>
            </w:r>
          </w:p>
        </w:tc>
        <w:tc>
          <w:tcPr>
            <w:tcW w:type="dxa" w:w="4320"/>
          </w:tcPr>
          <w:p>
            <w:r/>
            <w:r>
              <w:t>National Grid</w:t>
            </w:r>
          </w:p>
        </w:tc>
      </w:tr>
      <w:tr>
        <w:tc>
          <w:tcPr>
            <w:tcW w:type="dxa" w:w="4320"/>
          </w:tcPr>
          <w:p>
            <w:r/>
            <w:r>
              <w:t>SSE.L</w:t>
            </w:r>
          </w:p>
        </w:tc>
        <w:tc>
          <w:tcPr>
            <w:tcW w:type="dxa" w:w="4320"/>
          </w:tcPr>
          <w:p>
            <w:r/>
            <w:r>
              <w:t>SSE</w:t>
            </w:r>
          </w:p>
        </w:tc>
      </w:tr>
      <w:tr>
        <w:tc>
          <w:tcPr>
            <w:tcW w:type="dxa" w:w="4320"/>
          </w:tcPr>
          <w:p>
            <w:r/>
            <w:r>
              <w:t>CNA.L</w:t>
            </w:r>
          </w:p>
        </w:tc>
        <w:tc>
          <w:tcPr>
            <w:tcW w:type="dxa" w:w="4320"/>
          </w:tcPr>
          <w:p>
            <w:r/>
            <w:r>
              <w:t>Centrica</w:t>
            </w:r>
          </w:p>
        </w:tc>
      </w:tr>
      <w:tr>
        <w:tc>
          <w:tcPr>
            <w:tcW w:type="dxa" w:w="4320"/>
          </w:tcPr>
          <w:p>
            <w:r/>
            <w:r>
              <w:t>SVT.L</w:t>
            </w:r>
          </w:p>
        </w:tc>
        <w:tc>
          <w:tcPr>
            <w:tcW w:type="dxa" w:w="4320"/>
          </w:tcPr>
          <w:p>
            <w:r/>
            <w:r>
              <w:t>Severn Trent</w:t>
            </w:r>
          </w:p>
        </w:tc>
      </w:tr>
      <w:tr>
        <w:tc>
          <w:tcPr>
            <w:tcW w:type="dxa" w:w="4320"/>
          </w:tcPr>
          <w:p>
            <w:r/>
            <w:r>
              <w:t>UU.L</w:t>
            </w:r>
          </w:p>
        </w:tc>
        <w:tc>
          <w:tcPr>
            <w:tcW w:type="dxa" w:w="4320"/>
          </w:tcPr>
          <w:p>
            <w:r/>
            <w:r>
              <w:t>United Utilities</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Regulated businesses with predictable, defensive earnings. Often pay high dividends. Sensitive to interest rate changes because investors compare their yields to gilt yields. When gilt yields rise sharply, utility share prices tend to fall. Heavily involved in the UK's energy transition (grid infrastructure investment).</w:t>
            </w:r>
          </w:p>
        </w:tc>
      </w:tr>
    </w:tbl>
    <w:p>
      <w:pPr>
        <w:pBdr>
          <w:bottom w:val="single" w:sz="6" w:space="1" w:color="CCCCCC"/>
        </w:pBdr>
      </w:pPr>
    </w:p>
    <w:p>
      <w:pPr>
        <w:pStyle w:val="Heading3"/>
      </w:pPr>
      <w:bookmarkStart w:id="79" w:name="mh79"/>
      <w:r>
        <w:t>Real Estate</w:t>
      </w:r>
      <w:bookmarkEnd w:id="79"/>
    </w:p>
    <w:p>
      <w:r>
        <w:t>Real Estate Investment Trusts (REITs) and property companies.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7ECF3"/>
          </w:tcPr>
          <w:p>
            <w:r>
              <w:rPr>
                <w:b/>
              </w:rPr>
            </w:r>
            <w:r>
              <w:rPr>
                <w:b/>
              </w:rPr>
            </w:r>
            <w:r>
              <w:rPr>
                <w:b/>
              </w:rPr>
              <w:t>Ticker</w:t>
            </w:r>
          </w:p>
        </w:tc>
        <w:tc>
          <w:tcPr>
            <w:tcW w:type="dxa" w:w="2880"/>
            <w:shd w:val="clear" w:color="auto" w:fill="E7ECF3"/>
          </w:tcPr>
          <w:p>
            <w:r>
              <w:rPr>
                <w:b/>
              </w:rPr>
            </w:r>
            <w:r>
              <w:rPr>
                <w:b/>
              </w:rPr>
            </w:r>
            <w:r>
              <w:rPr>
                <w:b/>
              </w:rPr>
              <w:t>Company</w:t>
            </w:r>
          </w:p>
        </w:tc>
        <w:tc>
          <w:tcPr>
            <w:tcW w:type="dxa" w:w="2880"/>
            <w:shd w:val="clear" w:color="auto" w:fill="E7ECF3"/>
          </w:tcPr>
          <w:p>
            <w:r>
              <w:rPr>
                <w:b/>
              </w:rPr>
            </w:r>
            <w:r>
              <w:rPr>
                <w:b/>
              </w:rPr>
            </w:r>
            <w:r>
              <w:rPr>
                <w:b/>
              </w:rPr>
              <w:t>Specialism</w:t>
            </w:r>
          </w:p>
        </w:tc>
      </w:tr>
      <w:tr>
        <w:tc>
          <w:tcPr>
            <w:tcW w:type="dxa" w:w="2880"/>
          </w:tcPr>
          <w:p>
            <w:r/>
            <w:r>
              <w:t>LAND.L</w:t>
            </w:r>
          </w:p>
        </w:tc>
        <w:tc>
          <w:tcPr>
            <w:tcW w:type="dxa" w:w="2880"/>
          </w:tcPr>
          <w:p>
            <w:r/>
            <w:r>
              <w:t>Land Securities</w:t>
            </w:r>
          </w:p>
        </w:tc>
        <w:tc>
          <w:tcPr>
            <w:tcW w:type="dxa" w:w="2880"/>
          </w:tcPr>
          <w:p>
            <w:r/>
            <w:r>
              <w:t>Commercial property (offices, retail)</w:t>
            </w:r>
          </w:p>
        </w:tc>
      </w:tr>
      <w:tr>
        <w:tc>
          <w:tcPr>
            <w:tcW w:type="dxa" w:w="2880"/>
          </w:tcPr>
          <w:p>
            <w:r/>
            <w:r>
              <w:t>SGRO.L</w:t>
            </w:r>
          </w:p>
        </w:tc>
        <w:tc>
          <w:tcPr>
            <w:tcW w:type="dxa" w:w="2880"/>
          </w:tcPr>
          <w:p>
            <w:r/>
            <w:r>
              <w:t>Segro</w:t>
            </w:r>
          </w:p>
        </w:tc>
        <w:tc>
          <w:tcPr>
            <w:tcW w:type="dxa" w:w="2880"/>
          </w:tcPr>
          <w:p>
            <w:r/>
            <w:r>
              <w:t>Industrial/logistics warehouses</w:t>
            </w:r>
          </w:p>
        </w:tc>
      </w:tr>
      <w:tr>
        <w:tc>
          <w:tcPr>
            <w:tcW w:type="dxa" w:w="2880"/>
          </w:tcPr>
          <w:p>
            <w:r/>
            <w:r>
              <w:t>BLND.L</w:t>
            </w:r>
          </w:p>
        </w:tc>
        <w:tc>
          <w:tcPr>
            <w:tcW w:type="dxa" w:w="2880"/>
          </w:tcPr>
          <w:p>
            <w:r/>
            <w:r>
              <w:t>British Land</w:t>
            </w:r>
          </w:p>
        </w:tc>
        <w:tc>
          <w:tcPr>
            <w:tcW w:type="dxa" w:w="2880"/>
          </w:tcPr>
          <w:p>
            <w:r/>
            <w:r>
              <w:t>Retail parks and offices</w:t>
            </w:r>
          </w:p>
        </w:tc>
      </w:tr>
      <w:tr>
        <w:tc>
          <w:tcPr>
            <w:tcW w:type="dxa" w:w="2880"/>
          </w:tcPr>
          <w:p>
            <w:r/>
            <w:r>
              <w:t>BBOX.L</w:t>
            </w:r>
          </w:p>
        </w:tc>
        <w:tc>
          <w:tcPr>
            <w:tcW w:type="dxa" w:w="2880"/>
          </w:tcPr>
          <w:p>
            <w:r/>
            <w:r>
              <w:t>Tritax Big Box REIT</w:t>
            </w:r>
          </w:p>
        </w:tc>
        <w:tc>
          <w:tcPr>
            <w:tcW w:type="dxa" w:w="2880"/>
          </w:tcPr>
          <w:p>
            <w:r/>
            <w:r>
              <w:t>Large logistics warehouses</w:t>
            </w:r>
          </w:p>
        </w:tc>
      </w:tr>
      <w:tr>
        <w:tc>
          <w:tcPr>
            <w:tcW w:type="dxa" w:w="2880"/>
          </w:tcPr>
          <w:p>
            <w:r/>
            <w:r>
              <w:t>PCTN.L</w:t>
            </w:r>
          </w:p>
        </w:tc>
        <w:tc>
          <w:tcPr>
            <w:tcW w:type="dxa" w:w="2880"/>
          </w:tcPr>
          <w:p>
            <w:r/>
            <w:r>
              <w:t>Picton Property Income</w:t>
            </w:r>
          </w:p>
        </w:tc>
        <w:tc>
          <w:tcPr>
            <w:tcW w:type="dxa" w:w="2880"/>
          </w:tcPr>
          <w:p>
            <w:r/>
            <w:r>
              <w:t>Diversified commercial</w:t>
            </w:r>
          </w:p>
        </w:tc>
      </w:tr>
      <w:tr>
        <w:tc>
          <w:tcPr>
            <w:tcW w:type="dxa" w:w="2880"/>
          </w:tcPr>
          <w:p>
            <w:r/>
            <w:r>
              <w:t>GPE.L</w:t>
            </w:r>
          </w:p>
        </w:tc>
        <w:tc>
          <w:tcPr>
            <w:tcW w:type="dxa" w:w="2880"/>
          </w:tcPr>
          <w:p>
            <w:r/>
            <w:r>
              <w:t>Great Portland Estates</w:t>
            </w:r>
          </w:p>
        </w:tc>
        <w:tc>
          <w:tcPr>
            <w:tcW w:type="dxa" w:w="2880"/>
          </w:tcPr>
          <w:p>
            <w:r/>
            <w:r>
              <w:t>London offices</w:t>
            </w:r>
          </w:p>
        </w:tc>
      </w:tr>
    </w:tbl>
    <w:tbl>
      <w:tblPr>
        <w:tblStyle w:val="TableGrid"/>
        <w:tblW w:type="auto" w:w="0"/>
        <w:tblLook w:firstColumn="1" w:firstRow="1" w:lastColumn="0" w:lastRow="0" w:noHBand="0" w:noVBand="1" w:val="04A0"/>
      </w:tblPr>
      <w:tblGrid>
        <w:gridCol w:w="8640"/>
      </w:tblGrid>
      <w:tr>
        <w:tc>
          <w:tcPr>
            <w:tcW w:type="dxa" w:w="8640"/>
            <w:vAlign w:val="top"/>
            <w:shd w:val="clear" w:color="auto" w:fill="F2F4F7"/>
          </w:tcPr>
          <w:p>
            <w:r>
              <w:rPr>
                <w:b/>
              </w:rPr>
              <w:t>Sector characteristics:</w:t>
            </w:r>
            <w:r>
              <w:t xml:space="preserve"> REITs must distribute 90% of taxable income as dividends, making them income investments. Net Asset Value (NAV) is the key valuation metric (P/B is particularly relevant). Sensitive to interest rates (higher rates increase borrowing costs and reduce property valuations). Logistics-focused REITs (SGRO, BBOX) have benefited from the shift to e-commerce; traditional retail property faces structural headwinds.</w:t>
            </w:r>
          </w:p>
        </w:tc>
      </w:tr>
    </w:tbl>
    <w:p>
      <w:pPr>
        <w:pBdr>
          <w:bottom w:val="single" w:sz="6" w:space="1" w:color="CCCCCC"/>
        </w:pBdr>
      </w:pPr>
    </w:p>
    <w:p>
      <w:r>
        <w:rPr>
          <w:i/>
        </w:rPr>
        <w:t>Alpha Move AI — UK Stock Screener — User Manual — June 2026</w:t>
      </w:r>
      <w:r>
        <w:t xml:space="preserve"> </w:t>
      </w:r>
      <w:r>
        <w:rPr>
          <w:i/>
        </w:rPr>
        <w:t>For support or feedback, refer to the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