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HLB LOAD$  ·  Disbursement (Batch 3)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430"/>
          <w:sz w:val="40"/>
          <w:szCs w:val="40"/>
        </w:rPr>
        <w:t xml:space="preserve">Prototype Walkthrough</w:t>
      </w:r>
    </w:p>
    <w:p>
      <w:pPr>
        <w:spacing w:after="200" w:before="0" w:line="276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A short guide to what the prototype covers and how to move through it. It describes the paths, not the rules — the functional specification remains the reference for detail.</w:t>
      </w:r>
    </w:p>
    <w:p>
      <w:pPr>
        <w:pBdr>
          <w:bottom w:val="single" w:color="D9D9D9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430"/>
          <w:sz w:val="28"/>
          <w:szCs w:val="28"/>
        </w:rPr>
        <w:t xml:space="preserve">Before you start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430"/>
                <w:sz w:val="20"/>
                <w:szCs w:val="20"/>
              </w:rPr>
              <w:t xml:space="preserve">Item</w:t>
            </w:r>
          </w:p>
        </w:tc>
        <w:tc>
          <w:tcPr>
            <w:tcW w:type="dxa" w:w="6400"/>
            <w:shd w:fill="F0F4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430"/>
                <w:sz w:val="20"/>
                <w:szCs w:val="20"/>
              </w:rPr>
              <w:t xml:space="preserve">File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HLB_放款原型_合并版.html — one file, nothing to install</w:t>
            </w:r>
          </w:p>
        </w:tc>
      </w:tr>
      <w:tr>
        <w:tc>
          <w:tcPr>
            <w:tcW w:type="dxa" w:w="2600"/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430"/>
                <w:sz w:val="20"/>
                <w:szCs w:val="20"/>
              </w:rPr>
              <w:t xml:space="preserve">To open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Double-click it. Chrome or Edge is recommended.</w:t>
            </w:r>
          </w:p>
        </w:tc>
      </w:tr>
      <w:tr>
        <w:tc>
          <w:tcPr>
            <w:tcW w:type="dxa" w:w="2600"/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430"/>
                <w:sz w:val="20"/>
                <w:szCs w:val="20"/>
              </w:rPr>
              <w:t xml:space="preserve">Network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Not required. It runs entirely in the browser.</w:t>
            </w:r>
          </w:p>
        </w:tc>
      </w:tr>
      <w:tr>
        <w:tc>
          <w:tcPr>
            <w:tcW w:type="dxa" w:w="2600"/>
            <w:shd w:fill="FAFB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430"/>
                <w:sz w:val="20"/>
                <w:szCs w:val="20"/>
              </w:rPr>
              <w:t xml:space="preserve">Build</w:t>
            </w:r>
          </w:p>
        </w:tc>
        <w:tc>
          <w:tcPr>
            <w:tcW w:type="dxa" w:w="6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Shown at the top right of the screen, e.g. Prototype build 2026-08-30</w:t>
            </w:r>
          </w:p>
        </w:tc>
      </w:tr>
    </w:tbl>
    <w:p>
      <w:pPr>
        <w:spacing w:after="14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Everything you see is sample data. Nothing is saved and nothing is sent anywhere.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Refreshing the page resets it to the starting state, so you can explore freely.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The dark strip along the top is a demo toolbar. It lets you switch role and scenario so one file can show several situations. It is not part of the product.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430"/>
          <w:sz w:val="28"/>
          <w:szCs w:val="28"/>
        </w:rPr>
        <w:t xml:space="preserve">What is in it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Two screens, connected the way they will be in the product: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CRA Workbench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 —  where CRA reviews the case summary, works the defect list, maintains disbursement information, and submits the case.</w:t>
      </w: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color w:val="1F2430"/>
          <w:sz w:val="21"/>
          <w:szCs w:val="21"/>
        </w:rPr>
        <w:t xml:space="preserve">Document Center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 —  where documents are uploaded and classified, and where expert rules are checked against them.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677FF"/>
          <w:sz w:val="23"/>
          <w:szCs w:val="23"/>
        </w:rPr>
        <w:t xml:space="preserve">Moving between the two</w:t>
      </w:r>
    </w:p>
    <w:p>
      <w:pPr>
        <w:spacing w:after="11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The workbench opens the Document Center from three places, all of which lead to the same screen: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Attachment — in the top bar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Attachment — in the Navigation card on the left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Open File Center — in the Verification Summary module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To come back, use the ✕ at the top right or Back To List at the bottom. The switch in the demo toolbar also jumps between the two at any time.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430"/>
          <w:sz w:val="28"/>
          <w:szCs w:val="28"/>
        </w:rPr>
        <w:t xml:space="preserve">The main paths</w:t>
      </w:r>
    </w:p>
    <w:p>
      <w:pPr>
        <w:spacing w:after="180" w:before="0" w:line="276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Four walkthroughs. Each takes a couple of minutes and they follow the order of the real process.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677FF"/>
          <w:sz w:val="23"/>
          <w:szCs w:val="23"/>
        </w:rPr>
        <w:t xml:space="preserve">Path 1  ·  Sales uploads the documents</w:t>
      </w:r>
    </w:p>
    <w:p>
      <w:pPr>
        <w:spacing w:after="130" w:before="0" w:line="276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Document Center, with the role set to Sales.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Choose who the documents belong to on the left —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Main Applicant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Guarantor 1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Seller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Two upload entries appear.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AI Scanning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reads and classifies the document automatically — it covers around 40 document types.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Non AI Scanning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stores anything else as-is.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Not sure which entry a document belongs to? Click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+35 more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and search for it. The list says which entry each type goes to.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The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File List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below shows everything uploaded, with its classification and status.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When the documents are complete, click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Submit for Verification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at the bottom right to trigger rule validation.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677FF"/>
          <w:sz w:val="23"/>
          <w:szCs w:val="23"/>
        </w:rPr>
        <w:t xml:space="preserve">Path 2  ·  CRA checks the expert rules</w:t>
      </w:r>
    </w:p>
    <w:p>
      <w:pPr>
        <w:spacing w:after="130" w:before="0" w:line="276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Document Center, with the role set to CRA. Pick a subject on the left to reveal the two rule tabs.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nsolas" w:cs="Consolas" w:eastAsia="Consolas" w:hAnsi="Consolas"/>
          <w:color w:val="1F2430"/>
          <w:sz w:val="21"/>
          <w:szCs w:val="21"/>
        </w:rPr>
        <w:t xml:space="preserve">Cross-Validation Results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holds the rules the engine concluded on its own. Open a document to review an alert and settle it.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nsolas" w:cs="Consolas" w:eastAsia="Consolas" w:hAnsi="Consolas"/>
          <w:color w:val="1F2430"/>
          <w:sz w:val="21"/>
          <w:szCs w:val="21"/>
        </w:rPr>
        <w:t xml:space="preserve">Manual Check Results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holds documents OCR cannot read. The rules for the whole case sit on the left, the document image on the right; mark each rule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Pass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Fail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against what you see.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The bar at the bottom always shows both tracks — for example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OCR 13/19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Manual 0/6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— no matter which tab you are on. The two together decide whether the case is complete.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nsolas" w:cs="Consolas" w:eastAsia="Consolas" w:hAnsi="Consolas"/>
          <w:color w:val="1F2430"/>
          <w:sz w:val="21"/>
          <w:szCs w:val="21"/>
        </w:rPr>
        <w:t xml:space="preserve">Revalidate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reruns the engine across every document in the case. Manual marking stays available while it runs.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nsolas" w:cs="Consolas" w:eastAsia="Consolas" w:hAnsi="Consolas"/>
          <w:color w:val="1F2430"/>
          <w:sz w:val="21"/>
          <w:szCs w:val="21"/>
        </w:rPr>
        <w:t xml:space="preserve">Submit Rule Results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submits both tracks at once. If rules are still open it says how many and lets you continue anyway — your work so far is kept.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677FF"/>
          <w:sz w:val="23"/>
          <w:szCs w:val="23"/>
        </w:rPr>
        <w:t xml:space="preserve">Path 3  ·  CRA works the case</w:t>
      </w:r>
    </w:p>
    <w:p>
      <w:pPr>
        <w:spacing w:after="130" w:before="0" w:line="276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CRA Workbench.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nsolas" w:cs="Consolas" w:eastAsia="Consolas" w:hAnsi="Consolas"/>
          <w:color w:val="1F2430"/>
          <w:sz w:val="21"/>
          <w:szCs w:val="21"/>
        </w:rPr>
        <w:t xml:space="preserve">Verification Summary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shows how many rules the case has, how many are concluded, and how many did not pass.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nsolas" w:cs="Consolas" w:eastAsia="Consolas" w:hAnsi="Consolas"/>
          <w:color w:val="1F2430"/>
          <w:sz w:val="21"/>
          <w:szCs w:val="21"/>
        </w:rPr>
        <w:t xml:space="preserve">View detail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lists the rules that did not pass. For each one you can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Create Defect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, or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Handle rule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to settle it — amend the extracted value, apply a justification, or replace the document.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nsolas" w:cs="Consolas" w:eastAsia="Consolas" w:hAnsi="Consolas"/>
          <w:color w:val="1F2430"/>
          <w:sz w:val="21"/>
          <w:szCs w:val="21"/>
        </w:rPr>
        <w:t xml:space="preserve">Defect List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is where defects are closed: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Rectify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, then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Verify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. Once a rule has been settled,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Sync System Defects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clears the defect it raised. Defects you added by hand are never touched.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onsolas" w:cs="Consolas" w:eastAsia="Consolas" w:hAnsi="Consolas"/>
          <w:color w:val="1F2430"/>
          <w:sz w:val="21"/>
          <w:szCs w:val="21"/>
        </w:rPr>
        <w:t xml:space="preserve">Sync from OCR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in the top bar pulls the latest extracted values in for comparison, so you can choose which to apply.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677FF"/>
          <w:sz w:val="23"/>
          <w:szCs w:val="23"/>
        </w:rPr>
        <w:t xml:space="preserve">Path 4  ·  Submit and route</w:t>
      </w:r>
    </w:p>
    <w:p>
      <w:pPr>
        <w:spacing w:after="130" w:before="0" w:line="276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CRA Workbench. This is where the case is decided.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Tick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CRA Completed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in the panel on the right. This is the only thing that enables the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Next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button — outstanding rules and defects do not block submission.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Click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Next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. The system runs a pre-submit check, saves, assesses STP eligibility, then routes the case.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There are three outcomes. Straight-through to disbursement; routed to the Authorizer; or, if the case was never an STP scenario, sent to Disbursement Information Maintenance for manual handling.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Use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Scenario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and the </w:t>
      </w:r>
      <w:r>
        <w:rPr>
          <w:rFonts w:ascii="Consolas" w:cs="Consolas" w:eastAsia="Consolas" w:hAnsi="Consolas"/>
          <w:color w:val="1F2430"/>
          <w:sz w:val="21"/>
          <w:szCs w:val="21"/>
        </w:rPr>
        <w:t xml:space="preserve">STP switch</w:t>
      </w:r>
      <w:r>
        <w:rPr>
          <w:rFonts w:ascii="Calibri" w:cs="Calibri" w:eastAsia="Calibri" w:hAnsi="Calibri"/>
          <w:color w:val="1F2430"/>
          <w:sz w:val="21"/>
          <w:szCs w:val="21"/>
        </w:rPr>
        <w:t xml:space="preserve"> in the demo toolbar to see each outcome without rebuilding the case.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2430"/>
          <w:sz w:val="28"/>
          <w:szCs w:val="28"/>
        </w:rPr>
        <w:t xml:space="preserve">Worth knowing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The demo toolbar, including the role and scenario switches, exists only so one file can show several situations. It will not be in the product.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Figures, names and document lists are illustrative. They are there to make the screens readable, not to be checked for accuracy.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A few areas are shown as headings without content. Those are existing screens that this change does not touch.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F2430"/>
          <w:sz w:val="21"/>
          <w:szCs w:val="21"/>
        </w:rPr>
        <w:t xml:space="preserve">When sending feedback, please quote the build date shown at the top right so we know which version you were looking at.</w:t>
      </w:r>
    </w:p>
    <w:p>
      <w:pPr>
        <w:pBdr>
          <w:bottom w:val="single" w:color="D9D9D9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spacing w:after="0" w:before="0" w:line="276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Questions or comments on the prototype are welcome at any point — the paths above are the ones we would most like reactions to.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2026-08-30T15:12:05.355Z</dcterms:created>
  <dcterms:modified xsi:type="dcterms:W3CDTF">2026-08-30T15:12:05.355Z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