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HLB LOAD$  ·  Disbursement (Batch 3)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F2430"/>
          <w:sz w:val="40"/>
          <w:szCs w:val="40"/>
        </w:rPr>
        <w:t xml:space="preserve">Prototype Walkthrough</w:t>
      </w:r>
    </w:p>
    <w:p>
      <w:pPr>
        <w:spacing w:after="200" w:before="0" w:line="276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A short guide to what the prototype covers and how to move through it. It describes the paths, not the rules — the functional specification remains the reference for detail.</w:t>
      </w:r>
    </w:p>
    <w:p>
      <w:pPr>
        <w:pBdr>
          <w:bottom w:val="single" w:color="D9D9D9" w:sz="6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2430"/>
          <w:sz w:val="28"/>
          <w:szCs w:val="28"/>
        </w:rPr>
        <w:t xml:space="preserve">Before you start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c>
          <w:tcPr>
            <w:tcW w:type="dxa" w:w="2600"/>
            <w:shd w:fill="F0F4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430"/>
                <w:sz w:val="20"/>
                <w:szCs w:val="20"/>
              </w:rPr>
              <w:t xml:space="preserve">Item</w:t>
            </w:r>
          </w:p>
        </w:tc>
        <w:tc>
          <w:tcPr>
            <w:tcW w:type="dxa" w:w="6400"/>
            <w:shd w:fill="F0F4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F2430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600"/>
            <w:shd w:fill="FAFB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430"/>
                <w:sz w:val="20"/>
                <w:szCs w:val="20"/>
              </w:rPr>
              <w:t xml:space="preserve">File</w:t>
            </w:r>
          </w:p>
        </w:tc>
        <w:tc>
          <w:tcPr>
            <w:tcW w:type="dxa" w:w="64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F2430"/>
                <w:sz w:val="20"/>
                <w:szCs w:val="20"/>
              </w:rPr>
              <w:t xml:space="preserve">HLB_放款原型_合并版.html — one file, nothing to install</w:t>
            </w:r>
          </w:p>
        </w:tc>
      </w:tr>
      <w:tr>
        <w:tc>
          <w:tcPr>
            <w:tcW w:type="dxa" w:w="2600"/>
            <w:shd w:fill="FAFB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430"/>
                <w:sz w:val="20"/>
                <w:szCs w:val="20"/>
              </w:rPr>
              <w:t xml:space="preserve">To open</w:t>
            </w:r>
          </w:p>
        </w:tc>
        <w:tc>
          <w:tcPr>
            <w:tcW w:type="dxa" w:w="64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F2430"/>
                <w:sz w:val="20"/>
                <w:szCs w:val="20"/>
              </w:rPr>
              <w:t xml:space="preserve">Double-click it. Chrome or Edge is recommended.</w:t>
            </w:r>
          </w:p>
        </w:tc>
      </w:tr>
      <w:tr>
        <w:tc>
          <w:tcPr>
            <w:tcW w:type="dxa" w:w="2600"/>
            <w:shd w:fill="FAFB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430"/>
                <w:sz w:val="20"/>
                <w:szCs w:val="20"/>
              </w:rPr>
              <w:t xml:space="preserve">Network</w:t>
            </w:r>
          </w:p>
        </w:tc>
        <w:tc>
          <w:tcPr>
            <w:tcW w:type="dxa" w:w="64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F2430"/>
                <w:sz w:val="20"/>
                <w:szCs w:val="20"/>
              </w:rPr>
              <w:t xml:space="preserve">Not required. It runs entirely in the browser.</w:t>
            </w:r>
          </w:p>
        </w:tc>
      </w:tr>
      <w:tr>
        <w:tc>
          <w:tcPr>
            <w:tcW w:type="dxa" w:w="2600"/>
            <w:shd w:fill="FAFB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430"/>
                <w:sz w:val="20"/>
                <w:szCs w:val="20"/>
              </w:rPr>
              <w:t xml:space="preserve">Build</w:t>
            </w:r>
          </w:p>
        </w:tc>
        <w:tc>
          <w:tcPr>
            <w:tcW w:type="dxa" w:w="64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F2430"/>
                <w:sz w:val="20"/>
                <w:szCs w:val="20"/>
              </w:rPr>
              <w:t xml:space="preserve">Shown at the top right of the screen, e.g. Prototype build 2026-08-30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Everything you see is sample data. Nothing is saved and nothing is sent anywhere.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Refreshing the page resets it to the starting state, so you can explore freely.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The dark strip along the top is a demo toolbar. It lets you switch role and scenario so one file can show several situations. It is not part of the product.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2430"/>
          <w:sz w:val="28"/>
          <w:szCs w:val="28"/>
        </w:rPr>
        <w:t xml:space="preserve">What is in it</w:t>
      </w:r>
    </w:p>
    <w:p>
      <w:pPr>
        <w:spacing w:after="140" w:before="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Two screens, connected the way they will be in the product:</w:t>
      </w:r>
    </w:p>
    <w:p>
      <w:pPr>
        <w:spacing w:after="100" w:before="0" w:line="276"/>
      </w:pPr>
      <w:r>
        <w:rPr>
          <w:rFonts w:ascii="Calibri" w:cs="Calibri" w:eastAsia="Calibri" w:hAnsi="Calibri"/>
          <w:b/>
          <w:bCs/>
          <w:color w:val="1F2430"/>
          <w:sz w:val="21"/>
          <w:szCs w:val="21"/>
        </w:rPr>
        <w:t xml:space="preserve">CRA Workbench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 —  where CRA reviews the case summary, works the defect list, maintains disbursement information, and submits the case.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color w:val="1F2430"/>
          <w:sz w:val="21"/>
          <w:szCs w:val="21"/>
        </w:rPr>
        <w:t xml:space="preserve">Document Center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 —  where documents are uploaded and classified, and where expert rules are checked against them.</w:t>
      </w:r>
    </w:p>
    <w:p>
      <w:pPr>
        <w:pStyle w:val="Heading2"/>
        <w:spacing w:after="110" w:before="260"/>
      </w:pPr>
      <w:r>
        <w:rPr>
          <w:rFonts w:ascii="Calibri" w:cs="Calibri" w:eastAsia="Calibri" w:hAnsi="Calibri"/>
          <w:b/>
          <w:bCs/>
          <w:color w:val="1677FF"/>
          <w:sz w:val="23"/>
          <w:szCs w:val="23"/>
        </w:rPr>
        <w:t xml:space="preserve">Moving between the two</w:t>
      </w:r>
    </w:p>
    <w:p>
      <w:pPr>
        <w:spacing w:after="110" w:before="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The workbench opens the Document Center from three places, all of which lead to the same screen: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Attachment — in the top bar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Attachment — in the Navigation card on the left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Open File Center — in the Verification Summary module</w:t>
      </w:r>
    </w:p>
    <w:p>
      <w:pPr>
        <w:spacing w:after="140" w:before="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To come back, use the ✕ at the top right or Back To List at the bottom. The switch in the demo toolbar also jumps between the two at any time.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2430"/>
          <w:sz w:val="28"/>
          <w:szCs w:val="28"/>
        </w:rPr>
        <w:t xml:space="preserve">The main paths</w:t>
      </w:r>
    </w:p>
    <w:p>
      <w:pPr>
        <w:spacing w:after="180" w:before="0" w:line="276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Four walkthroughs. Each takes a couple of minutes and they follow the order of the real process.</w:t>
      </w:r>
    </w:p>
    <w:p>
      <w:pPr>
        <w:pStyle w:val="Heading2"/>
        <w:spacing w:after="110" w:before="260"/>
      </w:pPr>
      <w:r>
        <w:rPr>
          <w:rFonts w:ascii="Calibri" w:cs="Calibri" w:eastAsia="Calibri" w:hAnsi="Calibri"/>
          <w:b/>
          <w:bCs/>
          <w:color w:val="1677FF"/>
          <w:sz w:val="23"/>
          <w:szCs w:val="23"/>
        </w:rPr>
        <w:t xml:space="preserve">Path 1  ·  Sales uploads the documents</w:t>
      </w:r>
    </w:p>
    <w:p>
      <w:pPr>
        <w:spacing w:after="130" w:before="0" w:line="276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Document Center, with the role set to Sales.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Choose who the documents belong to on the left —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Main Applicant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Guarantor 1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Seller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The upload entries appear above the list, one per document category — for the main applicant,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Personal Identity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Applicant Income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Other Application &amp; Vehicle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. Each is read and classified automatically. Which categories appear depends on who the documents belong to and on the stage — a guarantor has identity and income only, and in Disbursement the CRA set is shown instead.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Anything the categories do not cover goes to the strip below them,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Non-AI Scanning / Other Files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. It is stored as-is and checked by hand.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Not sure which entry a document belongs to? Click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Which entry does a document go to?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beside the heading and search for it. The list says which entry each type goes to.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The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File List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below shows everything uploaded, with its classification and status.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When the documents are complete, click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Submit for Verification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at the bottom right to trigger rule validation.</w:t>
      </w:r>
    </w:p>
    <w:p>
      <w:pPr>
        <w:pStyle w:val="Heading2"/>
        <w:spacing w:after="110" w:before="260"/>
      </w:pPr>
      <w:r>
        <w:rPr>
          <w:rFonts w:ascii="Calibri" w:cs="Calibri" w:eastAsia="Calibri" w:hAnsi="Calibri"/>
          <w:b/>
          <w:bCs/>
          <w:color w:val="1677FF"/>
          <w:sz w:val="23"/>
          <w:szCs w:val="23"/>
        </w:rPr>
        <w:t xml:space="preserve">Path 2  ·  CRA checks the expert rules</w:t>
      </w:r>
    </w:p>
    <w:p>
      <w:pPr>
        <w:spacing w:after="130" w:before="0" w:line="276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Document Center, with the role set to CRA. Pick a subject on the left to reveal the two rule tabs.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onsolas" w:cs="Consolas" w:eastAsia="Consolas" w:hAnsi="Consolas"/>
          <w:color w:val="1F2430"/>
          <w:sz w:val="21"/>
          <w:szCs w:val="21"/>
        </w:rPr>
        <w:t xml:space="preserve">Cross-Validation Results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holds the rules the engine concluded on its own. Open a document to review an alert and settle it.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onsolas" w:cs="Consolas" w:eastAsia="Consolas" w:hAnsi="Consolas"/>
          <w:color w:val="1F2430"/>
          <w:sz w:val="21"/>
          <w:szCs w:val="21"/>
        </w:rPr>
        <w:t xml:space="preserve">Manual Check Results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holds documents OCR cannot read. The rules for the whole case sit on the left, the document image on the right; mark each rule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Pass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Fail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against what you see.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The bar at the bottom always shows both tracks — for example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OCR 13/19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Manual 0/6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— no matter which tab you are on. The two together decide whether the case is complete.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onsolas" w:cs="Consolas" w:eastAsia="Consolas" w:hAnsi="Consolas"/>
          <w:color w:val="1F2430"/>
          <w:sz w:val="21"/>
          <w:szCs w:val="21"/>
        </w:rPr>
        <w:t xml:space="preserve">Revalidate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reruns the engine across every document in the case. Manual marking stays available while it runs.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onsolas" w:cs="Consolas" w:eastAsia="Consolas" w:hAnsi="Consolas"/>
          <w:color w:val="1F2430"/>
          <w:sz w:val="21"/>
          <w:szCs w:val="21"/>
        </w:rPr>
        <w:t xml:space="preserve">Submit Rule Results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submits both tracks at once. If rules are still open it says how many and lets you continue anyway — your work so far is kept.</w:t>
      </w:r>
    </w:p>
    <w:p>
      <w:pPr>
        <w:pStyle w:val="Heading2"/>
        <w:spacing w:after="110" w:before="260"/>
      </w:pPr>
      <w:r>
        <w:rPr>
          <w:rFonts w:ascii="Calibri" w:cs="Calibri" w:eastAsia="Calibri" w:hAnsi="Calibri"/>
          <w:b/>
          <w:bCs/>
          <w:color w:val="1677FF"/>
          <w:sz w:val="23"/>
          <w:szCs w:val="23"/>
        </w:rPr>
        <w:t xml:space="preserve">Path 3  ·  CRA works the case</w:t>
      </w:r>
    </w:p>
    <w:p>
      <w:pPr>
        <w:spacing w:after="130" w:before="0" w:line="276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CRA Workbench.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onsolas" w:cs="Consolas" w:eastAsia="Consolas" w:hAnsi="Consolas"/>
          <w:color w:val="1F2430"/>
          <w:sz w:val="21"/>
          <w:szCs w:val="21"/>
        </w:rPr>
        <w:t xml:space="preserve">Verification Summary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shows how many rules the case has, how many are concluded, and how many did not pass.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onsolas" w:cs="Consolas" w:eastAsia="Consolas" w:hAnsi="Consolas"/>
          <w:color w:val="1F2430"/>
          <w:sz w:val="21"/>
          <w:szCs w:val="21"/>
        </w:rPr>
        <w:t xml:space="preserve">View detail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lists the rules that did not pass. For each one you can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Create Defect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, or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Handle rule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to settle it — amend the extracted value, apply a justification, or replace the document.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onsolas" w:cs="Consolas" w:eastAsia="Consolas" w:hAnsi="Consolas"/>
          <w:color w:val="1F2430"/>
          <w:sz w:val="21"/>
          <w:szCs w:val="21"/>
        </w:rPr>
        <w:t xml:space="preserve">Defect List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is where defects are closed: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Rectify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, then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Verify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. Once a rule has been settled,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Sync System Defects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clears the defect it raised. Defects you added by hand are never touched.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onsolas" w:cs="Consolas" w:eastAsia="Consolas" w:hAnsi="Consolas"/>
          <w:color w:val="1F2430"/>
          <w:sz w:val="21"/>
          <w:szCs w:val="21"/>
        </w:rPr>
        <w:t xml:space="preserve">Sync from OCR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in the top bar pulls the latest extracted values in for comparison, so you can choose which to apply.</w:t>
      </w:r>
    </w:p>
    <w:p>
      <w:pPr>
        <w:pStyle w:val="Heading2"/>
        <w:spacing w:after="110" w:before="260"/>
      </w:pPr>
      <w:r>
        <w:rPr>
          <w:rFonts w:ascii="Calibri" w:cs="Calibri" w:eastAsia="Calibri" w:hAnsi="Calibri"/>
          <w:b/>
          <w:bCs/>
          <w:color w:val="1677FF"/>
          <w:sz w:val="23"/>
          <w:szCs w:val="23"/>
        </w:rPr>
        <w:t xml:space="preserve">Path 4  ·  Submit and route</w:t>
      </w:r>
    </w:p>
    <w:p>
      <w:pPr>
        <w:spacing w:after="130" w:before="0" w:line="276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CRA Workbench. This is where the case is decided.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Tick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CRA Completed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in the panel on the right. This is the only thing that enables the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Next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button — outstanding rules and defects do not block submission.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Click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Next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. The system runs a pre-submit check, saves, assesses STP eligibility, then routes the case.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There are three outcomes. Straight-through to disbursement; routed to the Authorizer; or, if the case was never an STP scenario, sent to Disbursement Information Maintenance for manual handling.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Use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Scenario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and the </w:t>
      </w:r>
      <w:r>
        <w:rPr>
          <w:rFonts w:ascii="Consolas" w:cs="Consolas" w:eastAsia="Consolas" w:hAnsi="Consolas"/>
          <w:color w:val="1F2430"/>
          <w:sz w:val="21"/>
          <w:szCs w:val="21"/>
        </w:rPr>
        <w:t xml:space="preserve">STP switch</w:t>
      </w:r>
      <w:r>
        <w:rPr>
          <w:rFonts w:ascii="Calibri" w:cs="Calibri" w:eastAsia="Calibri" w:hAnsi="Calibri"/>
          <w:color w:val="1F2430"/>
          <w:sz w:val="21"/>
          <w:szCs w:val="21"/>
        </w:rPr>
        <w:t xml:space="preserve"> in the demo toolbar to see each outcome without rebuilding the case.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2430"/>
          <w:sz w:val="28"/>
          <w:szCs w:val="28"/>
        </w:rPr>
        <w:t xml:space="preserve">Worth knowing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The demo toolbar, including the role and scenario switches, exists only so one file can show several situations. It will not be in the product.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Figures, names and document lists are illustrative. They are there to make the screens readable, not to be checked for accuracy.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A few areas are shown as headings without content. Those are existing screens that this change does not touch.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430"/>
          <w:sz w:val="21"/>
          <w:szCs w:val="21"/>
        </w:rPr>
        <w:t xml:space="preserve">When sending feedback, please quote the build date shown at the top right so we know which version you were looking at.</w:t>
      </w:r>
    </w:p>
    <w:p>
      <w:pPr>
        <w:pBdr>
          <w:bottom w:val="single" w:color="D9D9D9" w:sz="6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spacing w:after="0" w:before="0" w:line="276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Questions or comments on the prototype are welcome at any point — the paths above are the ones we would most like reactions to.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4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2026-08-31T06:36:23.006Z</dcterms:created>
  <dcterms:modified xsi:type="dcterms:W3CDTF">2026-08-31T06:36:23.006Z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