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12B5E" w:color="auto" w:val="clear"/>
            <w:tcMar>
              <w:top w:type="dxa" w:w="260"/>
              <w:left w:type="dxa" w:w="360"/>
              <w:bottom w:type="dxa" w:w="260"/>
              <w:right w:type="dxa" w:w="3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F9E795"/>
                <w:spacing w:val="24"/>
                <w:sz w:val="20"/>
                <w:szCs w:val="20"/>
              </w:rPr>
              <w:t xml:space="preserve">FMG CATERING SERVICES</w:t>
            </w:r>
          </w:p>
          <w:p>
            <w:pPr>
              <w:spacing w:after="10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40"/>
                <w:szCs w:val="40"/>
              </w:rPr>
              <w:t xml:space="preserve">Monthly Summary Report</w:t>
            </w:r>
          </w:p>
          <w:p>
            <w:r>
              <w:rPr>
                <w:rFonts w:ascii="Calibri" w:cs="Calibri" w:eastAsia="Calibri" w:hAnsi="Calibri"/>
                <w:b/>
                <w:bCs/>
                <w:color w:val="CADCFC"/>
                <w:sz w:val="21"/>
                <w:szCs w:val="21"/>
              </w:rPr>
              <w:t xml:space="preserve">Reporting Period:  </w:t>
            </w:r>
            <w:r>
              <w:rPr>
                <w:rFonts w:ascii="Calibri" w:cs="Calibri" w:eastAsia="Calibri" w:hAnsi="Calibri"/>
                <w:color w:val="FFFFFF"/>
                <w:sz w:val="21"/>
                <w:szCs w:val="21"/>
              </w:rPr>
              <w:t xml:space="preserve">August 1 – August 31, 2026</w:t>
            </w:r>
          </w:p>
        </w:tc>
      </w:tr>
    </w:tbl>
    <w:p>
      <w:pPr>
        <w:spacing w:after="200"/>
      </w:pPr>
    </w:p>
    <w:p>
      <w:pPr>
        <w:pBdr>
          <w:bottom w:val="single" w:color="F96167" w:sz="10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F96167"/>
          <w:sz w:val="24"/>
          <w:szCs w:val="24"/>
        </w:rPr>
        <w:t xml:space="preserve">1.  </w:t>
      </w:r>
      <w:r>
        <w:rPr>
          <w:rFonts w:ascii="Cambria" w:cs="Cambria" w:eastAsia="Cambria" w:hAnsi="Cambria"/>
          <w:b/>
          <w:bCs/>
          <w:color w:val="212B5E"/>
          <w:sz w:val="27"/>
          <w:szCs w:val="27"/>
        </w:rPr>
        <w:t xml:space="preserve">Key Figures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%"/>
            <w:tcBorders>
              <w:top w:val="single" w:color="F96167" w:sz="16"/>
              <w:left w:val="single" w:color="D9DCE6" w:sz="4"/>
              <w:bottom w:val="single" w:color="D9DCE6" w:sz="4"/>
              <w:right w:val="single" w:color="D9DCE6" w:sz="4"/>
            </w:tcBorders>
            <w:shd w:fill="EEF0FA" w:color="auto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12B5E"/>
                <w:sz w:val="40"/>
                <w:szCs w:val="40"/>
              </w:rPr>
              <w:t xml:space="preserve">₱10,965.00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F76"/>
                <w:spacing w:val="10"/>
                <w:sz w:val="16"/>
                <w:szCs w:val="16"/>
              </w:rPr>
              <w:t xml:space="preserve">REVENUE</w:t>
            </w:r>
          </w:p>
        </w:tc>
        <w:tc>
          <w:tcPr>
            <w:tcW w:type="pct" w:w="33.33%"/>
            <w:tcBorders>
              <w:top w:val="single" w:color="2F3C7E" w:sz="16"/>
              <w:left w:val="single" w:color="D9DCE6" w:sz="4"/>
              <w:bottom w:val="single" w:color="D9DCE6" w:sz="4"/>
              <w:right w:val="single" w:color="D9DCE6" w:sz="4"/>
            </w:tcBorders>
            <w:shd w:fill="EEF0FA" w:color="auto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12B5E"/>
                <w:sz w:val="40"/>
                <w:szCs w:val="40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F76"/>
                <w:spacing w:val="10"/>
                <w:sz w:val="16"/>
                <w:szCs w:val="16"/>
              </w:rPr>
              <w:t xml:space="preserve">BOOKINGS</w:t>
            </w:r>
          </w:p>
        </w:tc>
        <w:tc>
          <w:tcPr>
            <w:tcW w:type="pct" w:w="33.33%"/>
            <w:tcBorders>
              <w:top w:val="single" w:color="F9E795" w:sz="16"/>
              <w:left w:val="single" w:color="D9DCE6" w:sz="4"/>
              <w:bottom w:val="single" w:color="D9DCE6" w:sz="4"/>
              <w:right w:val="single" w:color="D9DCE6" w:sz="4"/>
            </w:tcBorders>
            <w:shd w:fill="EEF0FA" w:color="auto" w:val="clear"/>
            <w:tcMar>
              <w:top w:type="dxa" w:w="220"/>
              <w:left w:type="dxa" w:w="200"/>
              <w:bottom w:type="dxa" w:w="220"/>
              <w:right w:type="dxa" w:w="20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mbria" w:cs="Cambria" w:eastAsia="Cambria" w:hAnsi="Cambria"/>
                <w:b/>
                <w:bCs/>
                <w:color w:val="212B5E"/>
                <w:sz w:val="40"/>
                <w:szCs w:val="40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6B6F76"/>
                <w:spacing w:val="10"/>
                <w:sz w:val="16"/>
                <w:szCs w:val="16"/>
              </w:rPr>
              <w:t xml:space="preserve">COMPLETED SALES</w:t>
            </w:r>
          </w:p>
        </w:tc>
      </w:tr>
    </w:tbl>
    <w:p>
      <w:pPr>
        <w:pBdr>
          <w:bottom w:val="single" w:color="F96167" w:sz="10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F96167"/>
          <w:sz w:val="24"/>
          <w:szCs w:val="24"/>
        </w:rPr>
        <w:t xml:space="preserve">2.  </w:t>
      </w:r>
      <w:r>
        <w:rPr>
          <w:rFonts w:ascii="Cambria" w:cs="Cambria" w:eastAsia="Cambria" w:hAnsi="Cambria"/>
          <w:b/>
          <w:bCs/>
          <w:color w:val="212B5E"/>
          <w:sz w:val="27"/>
          <w:szCs w:val="27"/>
        </w:rPr>
        <w:t xml:space="preserve">Package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70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212B5E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pct" w:w="30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212B5E" w:color="auto" w:val="clear"/>
            <w:tcMar>
              <w:top w:type="dxa" w:w="140"/>
              <w:left w:type="dxa" w:w="180"/>
              <w:bottom w:type="dxa" w:w="14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Bookings</w:t>
            </w:r>
          </w:p>
        </w:tc>
      </w:tr>
      <w:tr>
        <w:tc>
          <w:tcPr>
            <w:tcW w:type="pct" w:w="70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B5E"/>
                <w:sz w:val="19"/>
                <w:szCs w:val="19"/>
              </w:rPr>
              <w:t xml:space="preserve">Essential Package</w:t>
            </w:r>
          </w:p>
        </w:tc>
        <w:tc>
          <w:tcPr>
            <w:tcW w:type="pct" w:w="30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63B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pct" w:w="70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B5E"/>
                <w:sz w:val="19"/>
                <w:szCs w:val="19"/>
              </w:rPr>
              <w:t xml:space="preserve">Premium Package</w:t>
            </w:r>
          </w:p>
        </w:tc>
        <w:tc>
          <w:tcPr>
            <w:tcW w:type="pct" w:w="30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63B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pct" w:w="70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212B5E"/>
                <w:sz w:val="19"/>
                <w:szCs w:val="19"/>
              </w:rPr>
              <w:t xml:space="preserve">Grand Package</w:t>
            </w:r>
          </w:p>
        </w:tc>
        <w:tc>
          <w:tcPr>
            <w:tcW w:type="pct" w:w="30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110"/>
              <w:left w:type="dxa" w:w="180"/>
              <w:bottom w:type="dxa" w:w="11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363B"/>
                <w:sz w:val="19"/>
                <w:szCs w:val="19"/>
              </w:rPr>
              <w:t xml:space="preserve">0</w:t>
            </w:r>
          </w:p>
        </w:tc>
      </w:tr>
    </w:tbl>
    <w:p>
      <w:pPr>
        <w:pBdr>
          <w:bottom w:val="single" w:color="F96167" w:sz="10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F96167"/>
          <w:sz w:val="24"/>
          <w:szCs w:val="24"/>
        </w:rPr>
        <w:t xml:space="preserve">3.  </w:t>
      </w:r>
      <w:r>
        <w:rPr>
          <w:rFonts w:ascii="Cambria" w:cs="Cambria" w:eastAsia="Cambria" w:hAnsi="Cambria"/>
          <w:b/>
          <w:bCs/>
          <w:color w:val="212B5E"/>
          <w:sz w:val="27"/>
          <w:szCs w:val="27"/>
        </w:rPr>
        <w:t xml:space="preserve">Menu Popularity</w:t>
      </w:r>
    </w:p>
    <w:p>
      <w:pPr>
        <w:spacing w:after="100" w:line="276"/>
      </w:pPr>
      <w:r>
        <w:rPr>
          <w:rFonts w:ascii="Calibri" w:cs="Calibri" w:eastAsia="Calibri" w:hAnsi="Calibri"/>
          <w:i/>
          <w:iCs/>
          <w:color w:val="6B6F76"/>
          <w:sz w:val="19"/>
          <w:szCs w:val="19"/>
        </w:rPr>
        <w:t xml:space="preserve">Items are ordered from least to most booked for the reporting period.</w:t>
      </w: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2F3C7E"/>
          <w:sz w:val="21"/>
          <w:szCs w:val="21"/>
        </w:rPr>
        <w:t xml:space="preserve">Foods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Pork Afritada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Pork Steak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Pork Sweet &amp; Sour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</w:tr>
      <w:tr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Pork Menudo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Pork Teriyaki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Pinoy Humba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</w:tr>
      <w:tr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Chicken Cordon Bleu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Buttered Chicken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Chicken Curry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</w:tr>
      <w:tr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Chicken Fillet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Corn Shrimp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Sweet &amp; Sour Fish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</w:tr>
      <w:tr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Buttered Shrimp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Beef Steak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Beef Teriyaki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</w:tr>
      <w:tr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Beef Kare-Kare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Grilled Chicken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Fried Chicken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</w:tr>
      <w:tr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Grilled Fish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Pork BBQ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Spaghetti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</w:tr>
      <w:tr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Roast Pork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Lumpiang Shanghai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2F3C7E"/>
          <w:sz w:val="21"/>
          <w:szCs w:val="21"/>
        </w:rPr>
        <w:t xml:space="preserve">Side Dishes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Special Chopsuey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Vegetable Lumpia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Corn Soup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</w:tr>
      <w:tr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Mushroom Soup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Pancit Guisado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Bam-e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</w:tr>
      <w:tr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Pinoy Spaghetti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Carbonara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Steamed Rice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</w:tr>
      <w:tr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Garlic Rice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Mashed Potatoes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6F7FC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Mixed Vegetables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</w:tr>
      <w:tr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Corn on the Cob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pct" w:w="33.333333333333336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90" w:before="200"/>
      </w:pPr>
      <w:r>
        <w:rPr>
          <w:rFonts w:ascii="Calibri" w:cs="Calibri" w:eastAsia="Calibri" w:hAnsi="Calibri"/>
          <w:b/>
          <w:bCs/>
          <w:color w:val="2F3C7E"/>
          <w:sz w:val="21"/>
          <w:szCs w:val="21"/>
        </w:rPr>
        <w:t xml:space="preserve">Drinks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Iced Tea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20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Soft Drinks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20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Bottled Water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20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Fresh Juice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  <w:tc>
          <w:tcPr>
            <w:tcW w:type="pct" w:w="20%"/>
            <w:tcBorders>
              <w:top w:val="single" w:color="D9DCE6" w:sz="4"/>
              <w:left w:val="single" w:color="D9DCE6" w:sz="4"/>
              <w:bottom w:val="single" w:color="D9DCE6" w:sz="4"/>
              <w:right w:val="single" w:color="D9DCE6" w:sz="4"/>
            </w:tcBorders>
            <w:shd w:fill="FFFFFF" w:color="auto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33363B"/>
                <w:sz w:val="18"/>
                <w:szCs w:val="18"/>
              </w:rPr>
              <w:t xml:space="preserve">Coffee</w:t>
            </w:r>
            <w:r>
              <w:rPr>
                <w:rFonts w:ascii="Calibri" w:cs="Calibri" w:eastAsia="Calibri" w:hAnsi="Calibri"/>
                <w:i/>
                <w:iCs/>
                <w:color w:val="6B6F76"/>
                <w:sz w:val="18"/>
                <w:szCs w:val="18"/>
              </w:rPr>
              <w:t xml:space="preserve">  (0)</w:t>
            </w:r>
          </w:p>
        </w:tc>
      </w:tr>
    </w:tbl>
    <w:p>
      <w:pPr>
        <w:pBdr>
          <w:bottom w:val="single" w:color="F96167" w:sz="10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F96167"/>
          <w:sz w:val="24"/>
          <w:szCs w:val="24"/>
        </w:rPr>
        <w:t xml:space="preserve">4.  </w:t>
      </w:r>
      <w:r>
        <w:rPr>
          <w:rFonts w:ascii="Cambria" w:cs="Cambria" w:eastAsia="Cambria" w:hAnsi="Cambria"/>
          <w:b/>
          <w:bCs/>
          <w:color w:val="212B5E"/>
          <w:sz w:val="27"/>
          <w:szCs w:val="27"/>
        </w:rPr>
        <w:t xml:space="preserve">Narrative Summary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212B5E"/>
          <w:sz w:val="21"/>
          <w:szCs w:val="21"/>
        </w:rPr>
        <w:t xml:space="preserve">Revenue: </w:t>
      </w:r>
      <w:r>
        <w:rPr>
          <w:rFonts w:ascii="Calibri" w:cs="Calibri" w:eastAsia="Calibri" w:hAnsi="Calibri"/>
          <w:color w:val="33363B"/>
          <w:sz w:val="21"/>
          <w:szCs w:val="21"/>
        </w:rPr>
        <w:t xml:space="preserve">Total revenue was ₱10,965.00. There is no previous month's data available for comparison.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212B5E"/>
          <w:sz w:val="21"/>
          <w:szCs w:val="21"/>
        </w:rPr>
        <w:t xml:space="preserve">Booking volume: </w:t>
      </w:r>
      <w:r>
        <w:rPr>
          <w:rFonts w:ascii="Calibri" w:cs="Calibri" w:eastAsia="Calibri" w:hAnsi="Calibri"/>
          <w:color w:val="33363B"/>
          <w:sz w:val="21"/>
          <w:szCs w:val="21"/>
        </w:rPr>
        <w:t xml:space="preserve">A total of 0 bookings were recorded. There is no previous month's data available for comparison.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212B5E"/>
          <w:sz w:val="21"/>
          <w:szCs w:val="21"/>
        </w:rPr>
        <w:t xml:space="preserve">Least requested package: </w:t>
      </w:r>
      <w:r>
        <w:rPr>
          <w:rFonts w:ascii="Calibri" w:cs="Calibri" w:eastAsia="Calibri" w:hAnsi="Calibri"/>
          <w:color w:val="33363B"/>
          <w:sz w:val="21"/>
          <w:szCs w:val="21"/>
        </w:rPr>
        <w:t xml:space="preserve">Essential Package was not booked during the month.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212B5E"/>
          <w:sz w:val="21"/>
          <w:szCs w:val="21"/>
        </w:rPr>
        <w:t xml:space="preserve">Least popular food: </w:t>
      </w:r>
      <w:r>
        <w:rPr>
          <w:rFonts w:ascii="Calibri" w:cs="Calibri" w:eastAsia="Calibri" w:hAnsi="Calibri"/>
          <w:color w:val="33363B"/>
          <w:sz w:val="21"/>
          <w:szCs w:val="21"/>
        </w:rPr>
        <w:t xml:space="preserve">Pork Afritada (0 booking(s)).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212B5E"/>
          <w:sz w:val="21"/>
          <w:szCs w:val="21"/>
        </w:rPr>
        <w:t xml:space="preserve">Least popular side dish: </w:t>
      </w:r>
      <w:r>
        <w:rPr>
          <w:rFonts w:ascii="Calibri" w:cs="Calibri" w:eastAsia="Calibri" w:hAnsi="Calibri"/>
          <w:color w:val="33363B"/>
          <w:sz w:val="21"/>
          <w:szCs w:val="21"/>
        </w:rPr>
        <w:t xml:space="preserve">Special Chopsuey (0 booking(s)).</w:t>
      </w:r>
    </w:p>
    <w:p>
      <w:pPr>
        <w:pStyle w:val="ListParagraph"/>
        <w:numPr>
          <w:ilvl w:val="0"/>
          <w:numId w:val="2"/>
        </w:numPr>
        <w:spacing w:after="90" w:line="270"/>
      </w:pPr>
      <w:r>
        <w:rPr>
          <w:rFonts w:ascii="Calibri" w:cs="Calibri" w:eastAsia="Calibri" w:hAnsi="Calibri"/>
          <w:b/>
          <w:bCs/>
          <w:color w:val="212B5E"/>
          <w:sz w:val="21"/>
          <w:szCs w:val="21"/>
        </w:rPr>
        <w:t xml:space="preserve">Least popular drink: </w:t>
      </w:r>
      <w:r>
        <w:rPr>
          <w:rFonts w:ascii="Calibri" w:cs="Calibri" w:eastAsia="Calibri" w:hAnsi="Calibri"/>
          <w:color w:val="33363B"/>
          <w:sz w:val="21"/>
          <w:szCs w:val="21"/>
        </w:rPr>
        <w:t xml:space="preserve">Iced Tea (0 booking(s)).</w:t>
      </w:r>
    </w:p>
    <w:p>
      <w:pPr>
        <w:pBdr>
          <w:bottom w:val="single" w:color="F96167" w:sz="10" w:space="4"/>
        </w:pBdr>
        <w:spacing w:after="140" w:before="340"/>
      </w:pPr>
      <w:r>
        <w:rPr>
          <w:rFonts w:ascii="Calibri" w:cs="Calibri" w:eastAsia="Calibri" w:hAnsi="Calibri"/>
          <w:b/>
          <w:bCs/>
          <w:color w:val="F96167"/>
          <w:sz w:val="24"/>
          <w:szCs w:val="24"/>
        </w:rPr>
        <w:t xml:space="preserve">5.  </w:t>
      </w:r>
      <w:r>
        <w:rPr>
          <w:rFonts w:ascii="Cambria" w:cs="Cambria" w:eastAsia="Cambria" w:hAnsi="Cambria"/>
          <w:b/>
          <w:bCs/>
          <w:color w:val="212B5E"/>
          <w:sz w:val="27"/>
          <w:szCs w:val="27"/>
        </w:rPr>
        <w:t xml:space="preserve">Conclusion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8C766" w:sz="6"/>
              <w:left w:val="single" w:color="E8C766" w:sz="6"/>
              <w:bottom w:val="single" w:color="E8C766" w:sz="6"/>
              <w:right w:val="single" w:color="E8C766" w:sz="6"/>
            </w:tcBorders>
            <w:shd w:fill="FDF3D6" w:color="auto" w:val="clear"/>
            <w:tcMar>
              <w:top w:type="dxa" w:w="220"/>
              <w:left w:type="dxa" w:w="260"/>
              <w:bottom w:type="dxa" w:w="220"/>
              <w:right w:type="dxa" w:w="2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rFonts w:ascii="Calibri" w:cs="Calibri" w:eastAsia="Calibri" w:hAnsi="Calibri"/>
                <w:color w:val="33363B"/>
                <w:sz w:val="20"/>
                <w:szCs w:val="20"/>
              </w:rPr>
              <w:t xml:space="preserve">Performance was stable for the period. Continue monitoring trends and refresh promotion of underperforming menu items.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rFonts w:ascii="Calibri" w:cs="Calibri" w:eastAsia="Calibri" w:hAnsi="Calibri"/>
                <w:color w:val="33363B"/>
                <w:sz w:val="20"/>
                <w:szCs w:val="20"/>
              </w:rPr>
              <w:t xml:space="preserve">The Essential Package received no bookings — consider a positioning refresh or bundling it with popular items.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90" w:line="270"/>
            </w:pPr>
            <w:r>
              <w:rPr>
                <w:rFonts w:ascii="Calibri" w:cs="Calibri" w:eastAsia="Calibri" w:hAnsi="Calibri"/>
                <w:color w:val="33363B"/>
                <w:sz w:val="20"/>
                <w:szCs w:val="20"/>
              </w:rPr>
              <w:t xml:space="preserve">Menu items that were never selected: Pork Afritada, Pork Steak, Pork Sweet &amp; Sour. Review menu variety or the menu planner options for visibility.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70"/>
            </w:pPr>
            <w:r>
              <w:rPr>
                <w:rFonts w:ascii="Calibri" w:cs="Calibri" w:eastAsia="Calibri" w:hAnsi="Calibri"/>
                <w:color w:val="33363B"/>
                <w:sz w:val="20"/>
                <w:szCs w:val="20"/>
              </w:rPr>
              <w:t xml:space="preserve">Drink selections were not recorded on any booking. The booking flow may not capture beverages — consider adding a dedicated drink selection step so drink popularity can be tracked.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F76"/>
        <w:sz w:val="17"/>
        <w:szCs w:val="17"/>
      </w:rPr>
      <w:t xml:space="preserve">Page </w:t>
    </w:r>
    <w:r>
      <w:rPr>
        <w:rFonts w:ascii="Calibri" w:cs="Calibri" w:eastAsia="Calibri" w:hAnsi="Calibri"/>
        <w:color w:val="6B6F76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6F76"/>
        <w:sz w:val="17"/>
        <w:szCs w:val="17"/>
      </w:rPr>
      <w:t xml:space="preserve"> of </w:t>
    </w:r>
    <w:r>
      <w:rPr>
        <w:rFonts w:ascii="Calibri" w:cs="Calibri" w:eastAsia="Calibri" w:hAnsi="Calibri"/>
        <w:color w:val="6B6F76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CE6" w:sz="4" w:space="4"/>
      </w:pBdr>
      <w:tabs>
        <w:tab w:val="right" w:pos="9026"/>
      </w:tabs>
    </w:pPr>
    <w:r>
      <w:rPr>
        <w:rFonts w:ascii="Calibri" w:cs="Calibri" w:eastAsia="Calibri" w:hAnsi="Calibri"/>
        <w:b/>
        <w:bCs/>
        <w:color w:val="2F3C7E"/>
        <w:sz w:val="17"/>
        <w:szCs w:val="17"/>
      </w:rPr>
      <w:t xml:space="preserve">FMG Catering Services</w:t>
    </w:r>
    <w:r>
      <w:rPr>
        <w:rFonts w:ascii="Calibri" w:cs="Calibri" w:eastAsia="Calibri" w:hAnsi="Calibri"/>
        <w:color w:val="6B6F76"/>
        <w:sz w:val="17"/>
        <w:szCs w:val="17"/>
      </w:rPr>
      <w:t xml:space="preserve">	Monthly Summary Report  ·  August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360" w:hanging="260"/>
      </w:pPr>
      <w:rPr>
        <w:color w:val="F9616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2026-09-06T12:21:36.202Z</dcterms:created>
  <dcterms:modified xsi:type="dcterms:W3CDTF">2026-09-06T12:21:36.215Z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