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Diagnostic Performance of ACR TI-RADS in a 25-Year Operative Thyroid Cohort: Patient-Level Analysis with Nodule-Level Sister Validation</w:t>
      </w:r>
    </w:p>
    <w:p>
      <w:r>
        <w:rPr>
          <w:rFonts w:ascii="Calibri" w:hAnsi="Calibri"/>
          <w:b w:val="0"/>
          <w:i w:val="0"/>
          <w:sz w:val="22"/>
        </w:rPr>
      </w:r>
    </w:p>
    <w:p>
      <w:pPr>
        <w:jc w:val="center"/>
      </w:pPr>
      <w:r>
        <w:rPr>
          <w:rFonts w:ascii="Calibri" w:hAnsi="Calibri"/>
          <w:b/>
          <w:i w:val="0"/>
          <w:sz w:val="22"/>
        </w:rPr>
        <w:t>Manuscript draft — DRAFT v0.1</w:t>
      </w:r>
    </w:p>
    <w:p>
      <w:pPr>
        <w:jc w:val="center"/>
      </w:pPr>
      <w:r>
        <w:rPr>
          <w:rFonts w:ascii="Calibri" w:hAnsi="Calibri"/>
          <w:b w:val="0"/>
          <w:i/>
          <w:sz w:val="22"/>
        </w:rPr>
        <w:t>Article type: Original Article</w:t>
      </w:r>
    </w:p>
    <w:p>
      <w:pPr>
        <w:jc w:val="center"/>
      </w:pPr>
      <w:r>
        <w:rPr>
          <w:rFonts w:ascii="Calibri" w:hAnsi="Calibri"/>
          <w:b w:val="0"/>
          <w:i/>
          <w:sz w:val="22"/>
        </w:rPr>
        <w:t>Generated: 2026-05-05</w:t>
      </w:r>
    </w:p>
    <w:p>
      <w:r>
        <w:rPr>
          <w:rFonts w:ascii="Calibri" w:hAnsi="Calibri"/>
          <w:b w:val="0"/>
          <w:i w:val="0"/>
          <w:sz w:val="22"/>
        </w:rPr>
      </w:r>
    </w:p>
    <w:p>
      <w:r>
        <w:rPr>
          <w:rFonts w:ascii="Calibri" w:hAnsi="Calibri"/>
          <w:b/>
          <w:i w:val="0"/>
          <w:sz w:val="22"/>
        </w:rPr>
        <w:t>Authors</w:t>
      </w:r>
    </w:p>
    <w:p>
      <w:r>
        <w:rPr>
          <w:rFonts w:ascii="Calibri" w:hAnsi="Calibri"/>
          <w:i/>
          <w:color w:val="A04040"/>
          <w:sz w:val="20"/>
        </w:rPr>
        <w:t>[TODO: Author list, degrees, affiliations — confirm with senior author]</w:t>
      </w:r>
    </w:p>
    <w:p>
      <w:r>
        <w:rPr>
          <w:rFonts w:ascii="Calibri" w:hAnsi="Calibri"/>
          <w:b w:val="0"/>
          <w:i w:val="0"/>
          <w:sz w:val="22"/>
        </w:rPr>
        <w:t>Logan D. Glosser, B.S.; [co-author 2]; [senior author], MD, FACS</w:t>
      </w:r>
    </w:p>
    <w:p>
      <w:r>
        <w:rPr>
          <w:rFonts w:ascii="Calibri" w:hAnsi="Calibri"/>
          <w:b w:val="0"/>
          <w:i w:val="0"/>
          <w:sz w:val="22"/>
        </w:rPr>
        <w:t>On behalf of the THYROID_2026 institutional study group</w:t>
      </w:r>
    </w:p>
    <w:p>
      <w:r>
        <w:rPr>
          <w:rFonts w:ascii="Calibri" w:hAnsi="Calibri"/>
          <w:b w:val="0"/>
          <w:i w:val="0"/>
          <w:sz w:val="22"/>
        </w:rPr>
      </w:r>
    </w:p>
    <w:p>
      <w:r>
        <w:rPr>
          <w:rFonts w:ascii="Calibri" w:hAnsi="Calibri"/>
          <w:b/>
          <w:i w:val="0"/>
          <w:sz w:val="22"/>
        </w:rPr>
        <w:t>Affiliations</w:t>
      </w:r>
    </w:p>
    <w:p>
      <w:r>
        <w:rPr>
          <w:rFonts w:ascii="Calibri" w:hAnsi="Calibri"/>
          <w:i/>
          <w:color w:val="A04040"/>
          <w:sz w:val="20"/>
        </w:rPr>
        <w:t>[TODO: Department/Division/Institution — current placeholder is Emory]</w:t>
      </w:r>
    </w:p>
    <w:p>
      <w:r>
        <w:rPr>
          <w:rFonts w:ascii="Calibri" w:hAnsi="Calibri"/>
          <w:b w:val="0"/>
          <w:i w:val="0"/>
          <w:sz w:val="22"/>
        </w:rPr>
        <w:t>1 Department of Surgery, Emory University School of Medicine, Atlanta, Georgia, USA</w:t>
      </w:r>
    </w:p>
    <w:p>
      <w:r>
        <w:rPr>
          <w:rFonts w:ascii="Calibri" w:hAnsi="Calibri"/>
          <w:b w:val="0"/>
          <w:i w:val="0"/>
          <w:sz w:val="22"/>
        </w:rPr>
        <w:t>2 [Additional affiliations]</w:t>
      </w:r>
    </w:p>
    <w:p>
      <w:r>
        <w:rPr>
          <w:rFonts w:ascii="Calibri" w:hAnsi="Calibri"/>
          <w:b w:val="0"/>
          <w:i w:val="0"/>
          <w:sz w:val="22"/>
        </w:rPr>
      </w:r>
    </w:p>
    <w:p>
      <w:r>
        <w:rPr>
          <w:rFonts w:ascii="Calibri" w:hAnsi="Calibri"/>
          <w:b/>
          <w:i w:val="0"/>
          <w:sz w:val="22"/>
        </w:rPr>
        <w:t>Corresponding author</w:t>
      </w:r>
    </w:p>
    <w:p>
      <w:r>
        <w:rPr>
          <w:rFonts w:ascii="Calibri" w:hAnsi="Calibri"/>
          <w:i/>
          <w:color w:val="A04040"/>
          <w:sz w:val="20"/>
        </w:rPr>
        <w:t>[TODO: Final corresponding author + contact info]</w:t>
      </w:r>
    </w:p>
    <w:p>
      <w:r>
        <w:rPr>
          <w:rFonts w:ascii="Calibri" w:hAnsi="Calibri"/>
          <w:b w:val="0"/>
          <w:i w:val="0"/>
          <w:sz w:val="22"/>
        </w:rPr>
        <w:t>Logan D. Glosser, [Address], [Phone], logan.glosser@gmail.com</w:t>
      </w:r>
    </w:p>
    <w:p>
      <w:r>
        <w:rPr>
          <w:rFonts w:ascii="Calibri" w:hAnsi="Calibri"/>
          <w:b w:val="0"/>
          <w:i w:val="0"/>
          <w:sz w:val="22"/>
        </w:rPr>
      </w:r>
    </w:p>
    <w:p>
      <w:r>
        <w:rPr>
          <w:rFonts w:ascii="Calibri" w:hAnsi="Calibri"/>
          <w:b/>
          <w:i w:val="0"/>
          <w:sz w:val="22"/>
        </w:rPr>
        <w:t>Running title</w:t>
      </w:r>
    </w:p>
    <w:p>
      <w:r>
        <w:rPr>
          <w:rFonts w:ascii="Calibri" w:hAnsi="Calibri"/>
          <w:b w:val="0"/>
          <w:i w:val="0"/>
          <w:sz w:val="22"/>
        </w:rPr>
        <w:t>ACR TI-RADS in a 25-year operative cohort</w:t>
      </w:r>
    </w:p>
    <w:p>
      <w:r>
        <w:rPr>
          <w:rFonts w:ascii="Calibri" w:hAnsi="Calibri"/>
          <w:b w:val="0"/>
          <w:i w:val="0"/>
          <w:sz w:val="22"/>
        </w:rPr>
      </w:r>
    </w:p>
    <w:p>
      <w:r>
        <w:rPr>
          <w:rFonts w:ascii="Calibri" w:hAnsi="Calibri"/>
          <w:b/>
          <w:i w:val="0"/>
          <w:sz w:val="22"/>
        </w:rPr>
        <w:t>Word count</w:t>
      </w:r>
    </w:p>
    <w:p>
      <w:r>
        <w:rPr>
          <w:rFonts w:ascii="Calibri" w:hAnsi="Calibri"/>
          <w:i/>
          <w:color w:val="A04040"/>
          <w:sz w:val="20"/>
        </w:rPr>
        <w:t>[TODO: Update before submission — Thyroid limit ~3,500-4,000]</w:t>
      </w:r>
    </w:p>
    <w:p>
      <w:r>
        <w:rPr>
          <w:rFonts w:ascii="Calibri" w:hAnsi="Calibri"/>
          <w:b w:val="0"/>
          <w:i w:val="0"/>
          <w:sz w:val="22"/>
        </w:rPr>
        <w:t>Abstract: ~250 words. Body: ~3,500 words.</w:t>
      </w:r>
    </w:p>
    <w:p>
      <w:r>
        <w:rPr>
          <w:rFonts w:ascii="Calibri" w:hAnsi="Calibri"/>
          <w:b w:val="0"/>
          <w:i w:val="0"/>
          <w:sz w:val="22"/>
        </w:rPr>
      </w:r>
    </w:p>
    <w:p>
      <w:r>
        <w:rPr>
          <w:rFonts w:ascii="Calibri" w:hAnsi="Calibri"/>
          <w:b/>
          <w:i w:val="0"/>
          <w:sz w:val="22"/>
        </w:rPr>
        <w:t>Tables / Figures</w:t>
      </w:r>
    </w:p>
    <w:p>
      <w:r>
        <w:rPr>
          <w:rFonts w:ascii="Calibri" w:hAnsi="Calibri"/>
          <w:b w:val="0"/>
          <w:i w:val="0"/>
          <w:sz w:val="22"/>
        </w:rPr>
        <w:t>4 in-text tables (Tables 1–4); 5 in-text figures (Figures 1–5); Supplementary tables S1–S4 + Supplementary Figure S1.</w:t>
      </w:r>
    </w:p>
    <w:p>
      <w:r>
        <w:rPr>
          <w:rFonts w:ascii="Calibri" w:hAnsi="Calibri"/>
          <w:b w:val="0"/>
          <w:i w:val="0"/>
          <w:sz w:val="22"/>
        </w:rPr>
      </w:r>
    </w:p>
    <w:p>
      <w:r>
        <w:rPr>
          <w:rFonts w:ascii="Calibri" w:hAnsi="Calibri"/>
          <w:b/>
          <w:i w:val="0"/>
          <w:sz w:val="22"/>
        </w:rPr>
        <w:t>Funding / disclosures</w:t>
      </w:r>
    </w:p>
    <w:p>
      <w:r>
        <w:rPr>
          <w:rFonts w:ascii="Calibri" w:hAnsi="Calibri"/>
          <w:i/>
          <w:color w:val="A04040"/>
          <w:sz w:val="20"/>
        </w:rPr>
        <w:t>[TODO: Fill in funding source; declare conflicts of interest]</w:t>
      </w:r>
    </w:p>
    <w:p>
      <w:r>
        <w:rPr>
          <w:rFonts w:ascii="Calibri" w:hAnsi="Calibri"/>
          <w:b w:val="0"/>
          <w:i w:val="0"/>
          <w:sz w:val="22"/>
        </w:rPr>
      </w:r>
    </w:p>
    <w:p>
      <w:r>
        <w:rPr>
          <w:rFonts w:ascii="Calibri" w:hAnsi="Calibri"/>
          <w:b/>
          <w:i w:val="0"/>
          <w:sz w:val="22"/>
        </w:rPr>
        <w:t>IRB / ethics</w:t>
      </w:r>
    </w:p>
    <w:p>
      <w:r>
        <w:rPr>
          <w:rFonts w:ascii="Calibri" w:hAnsi="Calibri"/>
          <w:i/>
          <w:color w:val="A04040"/>
          <w:sz w:val="20"/>
        </w:rPr>
        <w:t>[TODO: Confirm IRB protocol number]</w:t>
      </w:r>
    </w:p>
    <w:p>
      <w:r>
        <w:rPr>
          <w:rFonts w:ascii="Calibri" w:hAnsi="Calibri"/>
          <w:b w:val="0"/>
          <w:i w:val="0"/>
          <w:sz w:val="22"/>
        </w:rPr>
        <w:t>This retrospective analysis was conducted under Emory University IRB protocol [#TBD] with informed-consent waiver. De-identified data only.</w:t>
      </w:r>
    </w:p>
    <w:p>
      <w:r>
        <w:rPr>
          <w:rFonts w:ascii="Calibri" w:hAnsi="Calibri"/>
          <w:b w:val="0"/>
          <w:i w:val="0"/>
          <w:sz w:val="22"/>
        </w:rPr>
      </w:r>
    </w:p>
    <w:p>
      <w:r>
        <w:rPr>
          <w:rFonts w:ascii="Calibri" w:hAnsi="Calibri"/>
          <w:b/>
          <w:i w:val="0"/>
          <w:sz w:val="22"/>
        </w:rPr>
        <w:t>Data availability</w:t>
      </w:r>
    </w:p>
    <w:p>
      <w:r>
        <w:rPr>
          <w:rFonts w:ascii="Calibri" w:hAnsi="Calibri"/>
          <w:b w:val="0"/>
          <w:i w:val="0"/>
          <w:sz w:val="22"/>
        </w:rPr>
        <w:t>De-identified summary tables underlying the analyses are available with the manuscript supplement (M025_master_data.xlsx). Patient-level data are subject to institutional sharing rules and available on reasonable request.</w:t>
      </w:r>
    </w:p>
    <w:p>
      <w:r>
        <w:br w:type="page"/>
      </w:r>
    </w:p>
    <w:p>
      <w:pPr>
        <w:pStyle w:val="Heading1"/>
      </w:pPr>
      <w:r>
        <w:rPr>
          <w:rFonts w:ascii="Calibri" w:hAnsi="Calibri"/>
        </w:rPr>
        <w:t>Abstract</w:t>
      </w:r>
    </w:p>
    <w:p>
      <w:r>
        <w:rPr>
          <w:rFonts w:ascii="Calibri" w:hAnsi="Calibri"/>
          <w:b/>
          <w:i w:val="0"/>
          <w:sz w:val="22"/>
        </w:rPr>
        <w:t>Background.</w:t>
      </w:r>
    </w:p>
    <w:p>
      <w:r>
        <w:rPr>
          <w:rFonts w:ascii="Calibri" w:hAnsi="Calibri"/>
          <w:b w:val="0"/>
          <w:i w:val="0"/>
          <w:sz w:val="22"/>
        </w:rPr>
        <w:t>The ACR TI-RADS score is the most widely used ultrasound risk-stratification system for thyroid nodules. Validation in operative cohorts has historically produced higher per-category risk-of-malignancy (ROM) than ACR-published expected ranges, a finding usually attributed to selection bias. We re-examined diagnostic performance and calibration in a 25-year single-institution operative cohort, with a pre-specified secondary analysis at the nodule grain to quantify how much of operative-cohort ROM elevation is multinodular attribution error rather than pure selection.</w:t>
      </w:r>
    </w:p>
    <w:p>
      <w:r>
        <w:rPr>
          <w:rFonts w:ascii="Calibri" w:hAnsi="Calibri"/>
          <w:b/>
          <w:i w:val="0"/>
          <w:sz w:val="22"/>
        </w:rPr>
        <w:t>Methods.</w:t>
      </w:r>
    </w:p>
    <w:p>
      <w:r>
        <w:rPr>
          <w:rFonts w:ascii="Calibri" w:hAnsi="Calibri"/>
          <w:b w:val="0"/>
          <w:i w:val="0"/>
          <w:sz w:val="22"/>
        </w:rPr>
        <w:t>We assembled a single-institution operative thyroid cohort of 3,375 patients with surgical pathology between 1994 and 2025 (canonical_patient_master, MotherDuck thyroid_canonical_publication_v1_0, pub_v1_1). The primary analysis used patient grain with maximum TI-RADS category across all preoperative ultrasound exams as the predictor and any pathology-proven thyroid malignancy as the reference standard. Diagnostic performance (sensitivity, specificity, positive and negative predictive values, Wilson 95% CIs, area under the receiver-operating-characteristic curve) was computed at TR≥TR3, TR≥TR4 and TR≥TR5. The Youden index identified the optimal clinical threshold. A pre-specified sister analysis was performed at the nodule grain (cohort_m025_nodule_level_v1, n=3,687 strict ACR-eligible nodules / 631 path-malignant) to compute per-nodule ROM and compare directly with patient-level calibration.</w:t>
      </w:r>
    </w:p>
    <w:p>
      <w:r>
        <w:rPr>
          <w:rFonts w:ascii="Calibri" w:hAnsi="Calibri"/>
          <w:b/>
          <w:i w:val="0"/>
          <w:sz w:val="22"/>
        </w:rPr>
        <w:t>Results.</w:t>
      </w:r>
    </w:p>
    <w:p>
      <w:r>
        <w:rPr>
          <w:rFonts w:ascii="Calibri" w:hAnsi="Calibri"/>
          <w:b w:val="0"/>
          <w:i w:val="0"/>
          <w:sz w:val="22"/>
        </w:rPr>
        <w:t>Among 3,375 patients (79.7% female; 45.5% Black, 40.9% White, 6% Asian; median surgery year 2021; 1,479 [43.8%] pathology-proven malignant), patient-level discrimination was modest: AUC 0.648 (95% CI 0.630–0.667). The Youden-optimal threshold was TR≥TR4 (J=0.271; sensitivity 71.3%, specificity 55.9%, PPV 55.7%, NPV 71.4%). Per-category patient ROM was 28.2%, 32.1%, 27.6%, 47.4% and 58.7% for TR1–TR5; only TR5 fell within the ACR-expected range. Applying ACR FNA-eligibility thresholds retrospectively flagged 1,553 unnecessary FNAs and 472 cancers below threshold. The nodule-level sister analysis (3,687 strict ACR-eligible nodules) yielded per-nodule TR4 ROM 18.7% (95% CI 16.3–21.5) and TR5 26.1% (23.7–28.6), both inside ACR-published bands; AUC was 0.640. The patient-level vs nodule-level divergence (TR4 inflation +28.7 percentage points; TR5 +32.6) indicates multinodular attribution explains a substantial fraction of patient-grain ROM elevation.</w:t>
      </w:r>
    </w:p>
    <w:p>
      <w:r>
        <w:rPr>
          <w:rFonts w:ascii="Calibri" w:hAnsi="Calibri"/>
          <w:b/>
          <w:i w:val="0"/>
          <w:sz w:val="22"/>
        </w:rPr>
        <w:t>Conclusions.</w:t>
      </w:r>
    </w:p>
    <w:p>
      <w:r>
        <w:rPr>
          <w:rFonts w:ascii="Calibri" w:hAnsi="Calibri"/>
          <w:b w:val="0"/>
          <w:i w:val="0"/>
          <w:sz w:val="22"/>
        </w:rPr>
        <w:t>In a contemporary 25-year operative cohort, ACR TI-RADS provides modest discrimination with TR≥TR4 as the Youden-optimal clinical threshold, but per-category patient-level ROM substantially exceeds ACR-expected bands at TR1–TR4. A pre-specified per-nodule reanalysis recovers ACR-expected calibration at TR4 and TR5, demonstrating that much of the apparent operative-cohort risk inflation reflects multinodular attribution at patient grain rather than pure selection bias. Reporting per-nodule rather than per-patient ROM may improve calibration for institutional TI-RADS validation studies.</w:t>
      </w:r>
    </w:p>
    <w:p>
      <w:r>
        <w:br w:type="page"/>
      </w:r>
    </w:p>
    <w:p>
      <w:pPr>
        <w:pStyle w:val="Heading1"/>
      </w:pPr>
      <w:r>
        <w:rPr>
          <w:rFonts w:ascii="Calibri" w:hAnsi="Calibri"/>
        </w:rPr>
        <w:t>Introduction</w:t>
      </w:r>
    </w:p>
    <w:p>
      <w:r>
        <w:rPr>
          <w:rFonts w:ascii="Calibri" w:hAnsi="Calibri"/>
          <w:b w:val="0"/>
          <w:i w:val="0"/>
          <w:sz w:val="22"/>
        </w:rPr>
        <w:t>Thyroid nodules are highly prevalent yet rarely malignant; risk-stratification of ultrasound (US) features therefore drives clinical decisions about biopsy and surgery. The American College of Radiology (ACR) Thyroid Imaging Reporting and Data System (TI-RADS), introduced by Tessler and colleagues in 2017, provides a five-feature additive scoring algorithm with five categorical risk tiers (TR1–TR5) and explicit fine-needle aspiration (FNA) eligibility thresholds.</w:t>
      </w:r>
    </w:p>
    <w:p>
      <w:r>
        <w:rPr>
          <w:rFonts w:ascii="Calibri" w:hAnsi="Calibri"/>
          <w:i/>
          <w:color w:val="A04040"/>
          <w:sz w:val="20"/>
        </w:rPr>
        <w:t>[TODO: Add citations: Tessler 2017 ACR TI-RADS White Paper; ATA 2015 management guidelines; Middleton et al multicenter validation; recent meta-analyses; Bethesda 2023 system; selection-bias critique of operative cohort validations.]</w:t>
      </w:r>
    </w:p>
    <w:p>
      <w:r>
        <w:rPr>
          <w:rFonts w:ascii="Calibri" w:hAnsi="Calibri"/>
          <w:b w:val="0"/>
          <w:i w:val="0"/>
          <w:sz w:val="22"/>
        </w:rPr>
        <w:t>Multiple operative-cohort validation studies have observed that per-category ROM in surgically resected nodules consistently exceeds the ACR-published expected ranges, particularly at lower TR categories. This 'operative inflation' has been attributed to selection bias (only nodules judged worrisome enough to warrant surgery enter the cohort) and to differences in pathology referent.</w:t>
      </w:r>
    </w:p>
    <w:p>
      <w:r>
        <w:rPr>
          <w:rFonts w:ascii="Calibri" w:hAnsi="Calibri"/>
          <w:b w:val="0"/>
          <w:i w:val="0"/>
          <w:sz w:val="22"/>
        </w:rPr>
        <w:t>An under-examined alternative explanation is multinodular attribution error. When a patient has multiple US nodules and is collapsed to a single patient-level TI-RADS score (commonly the maximum), all malignancies in that patient are credited to that single category — even when the path-proven malignant nodule is not the highest-TR lesion. This attribution couples patient-level ROM mechanically to the prevalence of multinodular disease in the cohort and inflates the apparent operative-cohort risk.</w:t>
      </w:r>
    </w:p>
    <w:p>
      <w:r>
        <w:rPr>
          <w:rFonts w:ascii="Calibri" w:hAnsi="Calibri"/>
          <w:b w:val="0"/>
          <w:i w:val="0"/>
          <w:sz w:val="22"/>
        </w:rPr>
        <w:t>We therefore sought to characterize ACR TI-RADS diagnostic performance and per-category ROM calibration in a 25-year single-institution operative thyroid cohort, with a pre-specified secondary nodule-level analysis to quantify the contribution of multinodular attribution error to operative-cohort ROM elevation.</w:t>
      </w:r>
    </w:p>
    <w:p>
      <w:r>
        <w:br w:type="page"/>
      </w:r>
    </w:p>
    <w:p>
      <w:pPr>
        <w:pStyle w:val="Heading1"/>
      </w:pPr>
      <w:r>
        <w:rPr>
          <w:rFonts w:ascii="Calibri" w:hAnsi="Calibri"/>
        </w:rPr>
        <w:t>Methods</w:t>
      </w:r>
    </w:p>
    <w:p>
      <w:pPr>
        <w:pStyle w:val="Heading2"/>
      </w:pPr>
      <w:r>
        <w:rPr>
          <w:rFonts w:ascii="Calibri" w:hAnsi="Calibri"/>
        </w:rPr>
        <w:t>Study design and cohort</w:t>
      </w:r>
    </w:p>
    <w:p>
      <w:r>
        <w:rPr>
          <w:rFonts w:ascii="Calibri" w:hAnsi="Calibri"/>
          <w:b w:val="0"/>
          <w:i w:val="0"/>
          <w:sz w:val="22"/>
        </w:rPr>
        <w:t>We analyzed the institutional canonical patient master (canonical_patient_master, MotherDuck thyroid_canonical_publication_v1_0 at release tag pub_v1_1, 2026-05-04), a deidentified longitudinal data warehouse of all thyroid surgical patients at [Institution] from 1994 to 2025 (n=10,871 unique research IDs). Patients eligible for the primary analysis had at least one preoperative ultrasound with a documented TI-RADS category and a definitive pathology result on operative thyroidectomy specimen, yielding the analytic cohort of n=3,375.</w:t>
      </w:r>
    </w:p>
    <w:p>
      <w:r>
        <w:rPr>
          <w:rFonts w:ascii="Calibri" w:hAnsi="Calibri"/>
          <w:i/>
          <w:color w:val="A04040"/>
          <w:sz w:val="20"/>
        </w:rPr>
        <w:t>[TODO: Confirm institution name and data warehouse description for the journal.]</w:t>
      </w:r>
    </w:p>
    <w:p>
      <w:pPr>
        <w:pStyle w:val="Heading2"/>
      </w:pPr>
      <w:r>
        <w:rPr>
          <w:rFonts w:ascii="Calibri" w:hAnsi="Calibri"/>
        </w:rPr>
        <w:t>Patient-level predictor and outcome (primary analysis)</w:t>
      </w:r>
    </w:p>
    <w:p>
      <w:r>
        <w:rPr>
          <w:rFonts w:ascii="Calibri" w:hAnsi="Calibri"/>
          <w:b w:val="0"/>
          <w:i w:val="0"/>
          <w:sz w:val="22"/>
        </w:rPr>
        <w:t>The primary patient-level predictor was the maximum ACR TI-RADS 2017 category across all preoperative US exams (max_tirads_category_ever). When multiple US exams existed, the patient was assigned the highest TR observed; this is the convention used in most published operative-cohort validations and matches clinical practice in which the worst nodule drives FNA and surgical decisions. The reference standard was any pathology-proven thyroid malignancy on the operative specimen (is_malignant) following the WHO 2022 thyroid tumor classification.</w:t>
      </w:r>
    </w:p>
    <w:p>
      <w:pPr>
        <w:pStyle w:val="Heading2"/>
      </w:pPr>
      <w:r>
        <w:rPr>
          <w:rFonts w:ascii="Calibri" w:hAnsi="Calibri"/>
        </w:rPr>
        <w:t>Nodule-level predictor and outcome (sister analysis)</w:t>
      </w:r>
    </w:p>
    <w:p>
      <w:r>
        <w:rPr>
          <w:rFonts w:ascii="Calibri" w:hAnsi="Calibri"/>
          <w:b w:val="0"/>
          <w:i w:val="0"/>
          <w:sz w:val="22"/>
        </w:rPr>
        <w:t>For the pre-specified nodule-level sister analysis we used the per-nodule analytic spine (cohort_m025_nodule_level_v1, mig_306). The predictor was per-nodule acr2017_tirads_category, computed from the five ACR 2017 features stored in canonical_us_nodule_v2. The strict analytic subset required complete five-feature ACR scoring, known laterality, no size-outlier quarantine, and no unresolved multi-nodule attribution flag (analytic_eligible_strict_acr_pernodule = TRUE), yielding n=3,687 nodules across 1,668 patients. The per-nodule reference standard (nodule_path_proven_malignant) was assigned TRUE if a same-side malignant tumor existed in canonical_path_malignant_events_v1 with surgery date within [exam_date, exam_date + 365 days].</w:t>
      </w:r>
    </w:p>
    <w:p>
      <w:pPr>
        <w:pStyle w:val="Heading2"/>
      </w:pPr>
      <w:r>
        <w:rPr>
          <w:rFonts w:ascii="Calibri" w:hAnsi="Calibri"/>
        </w:rPr>
        <w:t>FNA Bethesda linkage</w:t>
      </w:r>
    </w:p>
    <w:p>
      <w:r>
        <w:rPr>
          <w:rFonts w:ascii="Calibri" w:hAnsi="Calibri"/>
          <w:b w:val="0"/>
          <w:i w:val="0"/>
          <w:sz w:val="22"/>
        </w:rPr>
        <w:t>Patient-level FNA results were attached via canonical_fna_events_v1; per-nodule FNA Bethesda 2023 was bridged via the legacy nodule-FNA linkage table imaging_fna_linkage_v3 reconstructed at the canonical_us_nodule_v2 keying using (research_id, normalized laterality, |US date − FNA date| ≤ 30 days). Best link per nodule was selected by smallest day_gap then highest legacy linkage score. Of the 3,687 strict-ACR analytic-eligible nodules, 495 (13.4%) had a bridged Bethesda value; of the 3,375 patients, 2,380 (70.5%) had a Bethesda result. The carry-forward limitation of per-nodule FNA size linkage (CF-FNA-SIZE-CM-NULL) is acknowledged in the Discussion.</w:t>
      </w:r>
    </w:p>
    <w:p>
      <w:pPr>
        <w:pStyle w:val="Heading2"/>
      </w:pPr>
      <w:r>
        <w:rPr>
          <w:rFonts w:ascii="Calibri" w:hAnsi="Calibri"/>
        </w:rPr>
        <w:t>Statistical analysis</w:t>
      </w:r>
    </w:p>
    <w:p>
      <w:r>
        <w:rPr>
          <w:rFonts w:ascii="Calibri" w:hAnsi="Calibri"/>
          <w:b w:val="0"/>
          <w:i w:val="0"/>
          <w:sz w:val="22"/>
        </w:rPr>
        <w:t>Continuous variables are reported as mean (SD) or median (IQR) as appropriate; categorical variables as count (%). Per-category ROM was computed with Wilson score-based 95% confidence intervals. Diagnostic performance was evaluated at three pre-specified thresholds (TR≥TR3, TR≥TR4, TR≥TR5) with 2×2-derived sensitivity, specificity, PPV, NPV and likelihood ratios with Wilson 95% CIs. The Youden index (J = sensitivity + specificity − 1) identified the optimal clinical threshold. Discrimination was summarized by the area under the receiver-operating-characteristic curve (AUC) computed via the closed-form rank Mann–Whitney equivalent. Patient-level vs nodule-level per-TR ROM divergence was reported in percentage points (pp) and assessed against ACR 2017 expected bands. Pre-specified sensitivity arms (S1A relaxed cohort, S1B first-US-only, S1C single-nodule patients, S1D unilateral path-only) explored selection effects (Supplementary Table S1). Analyses were performed in DuckDB SQL on the MotherDuck publication database; reproduction code is provided in the supplement.</w:t>
      </w:r>
    </w:p>
    <w:p>
      <w:r>
        <w:br w:type="page"/>
      </w:r>
    </w:p>
    <w:p>
      <w:pPr>
        <w:pStyle w:val="Heading1"/>
      </w:pPr>
      <w:r>
        <w:rPr>
          <w:rFonts w:ascii="Calibri" w:hAnsi="Calibri"/>
        </w:rPr>
        <w:t>Results</w:t>
      </w:r>
    </w:p>
    <w:p>
      <w:pPr>
        <w:pStyle w:val="Heading2"/>
      </w:pPr>
      <w:r>
        <w:rPr>
          <w:rFonts w:ascii="Calibri" w:hAnsi="Calibri"/>
        </w:rPr>
        <w:t>Cohort assembly and baseline characteristics (Figure 1, Table 1)</w:t>
      </w:r>
    </w:p>
    <w:p>
      <w:r>
        <w:rPr>
          <w:rFonts w:ascii="Calibri" w:hAnsi="Calibri"/>
          <w:b w:val="0"/>
          <w:i w:val="0"/>
          <w:sz w:val="22"/>
        </w:rPr>
        <w:t>Of 10,871 unique research IDs in the institutional thyroid surgical warehouse, 3,375 patients met inclusion criteria for the primary patient-level analysis. The cohort was 79.7% female (n=2,691), 45.5% Black or African American (n=1,535), 40.9% White (n=1,382), 6.0% Asian (n=204), with median age at surgery 53 years and median surgery year 2021 (range 1994–2025). Overall malignancy rate was 43.8% (n=1,479).</w:t>
      </w:r>
    </w:p>
    <w:p>
      <w:r>
        <w:rPr>
          <w:rFonts w:ascii="Calibri" w:hAnsi="Calibri"/>
          <w:b w:val="0"/>
          <w:i w:val="0"/>
          <w:sz w:val="22"/>
        </w:rPr>
        <w:t>Distribution by maximum TI-RADS category was: TR1 n=340 (10.1%), TR2 n=299 (8.9%), TR3 n=845 (25.0%), TR4 n=492 (14.6%), TR5 n=1,399 (41.5%). Bethesda FNA results were available for 2,380 patients (70.5%); operative pathology histology was available for 1,538 patients (45.6%; the remainder underwent surgery for benign indications).</w:t>
      </w:r>
    </w:p>
    <w:p>
      <w:r>
        <w:rPr>
          <w:rFonts w:ascii="Calibri" w:hAnsi="Calibri"/>
          <w:b w:val="0"/>
          <w:i/>
          <w:sz w:val="22"/>
        </w:rPr>
        <w:t>[INSERT TABLE 1: Baseline characteristics by max TI-RADS category]</w:t>
      </w:r>
    </w:p>
    <w:p>
      <w:r>
        <w:rPr>
          <w:rFonts w:ascii="Calibri" w:hAnsi="Calibri"/>
          <w:b w:val="0"/>
          <w:i/>
          <w:sz w:val="22"/>
        </w:rPr>
        <w:t>[INSERT FIGURE 1: Cohort flow diagram]</w:t>
      </w:r>
    </w:p>
    <w:p>
      <w:pPr>
        <w:pStyle w:val="Heading2"/>
      </w:pPr>
      <w:r>
        <w:rPr>
          <w:rFonts w:ascii="Calibri" w:hAnsi="Calibri"/>
        </w:rPr>
        <w:t>Patient-level diagnostic performance (Table 2, Figure 2)</w:t>
      </w:r>
    </w:p>
    <w:p>
      <w:r>
        <w:rPr>
          <w:rFonts w:ascii="Calibri" w:hAnsi="Calibri"/>
          <w:b w:val="0"/>
          <w:i w:val="0"/>
          <w:sz w:val="22"/>
        </w:rPr>
        <w:t>Patient-level discrimination of ACR TI-RADS for thyroid malignancy in the operative cohort was modest: AUC 0.648 (95% CI 0.630–0.667). Diagnostic performance at the three pre-specified thresholds is summarized in Table 2.</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305496"/>
            <w:vAlign w:val="center"/>
          </w:tcPr>
          <w:p>
            <w:r/>
            <w:r>
              <w:rPr>
                <w:rFonts w:ascii="Calibri" w:hAnsi="Calibri"/>
                <w:b/>
                <w:color w:val="FFFFFF"/>
                <w:sz w:val="20"/>
              </w:rPr>
              <w:t>Threshold</w:t>
            </w:r>
          </w:p>
        </w:tc>
        <w:tc>
          <w:tcPr>
            <w:tcW w:type="dxa" w:w="1872"/>
            <w:shd w:val="clear" w:color="auto" w:fill="305496"/>
            <w:vAlign w:val="center"/>
          </w:tcPr>
          <w:p>
            <w:r/>
            <w:r>
              <w:rPr>
                <w:rFonts w:ascii="Calibri" w:hAnsi="Calibri"/>
                <w:b/>
                <w:color w:val="FFFFFF"/>
                <w:sz w:val="20"/>
              </w:rPr>
              <w:t>Sens (95% CI)</w:t>
            </w:r>
          </w:p>
        </w:tc>
        <w:tc>
          <w:tcPr>
            <w:tcW w:type="dxa" w:w="1872"/>
            <w:shd w:val="clear" w:color="auto" w:fill="305496"/>
            <w:vAlign w:val="center"/>
          </w:tcPr>
          <w:p>
            <w:r/>
            <w:r>
              <w:rPr>
                <w:rFonts w:ascii="Calibri" w:hAnsi="Calibri"/>
                <w:b/>
                <w:color w:val="FFFFFF"/>
                <w:sz w:val="20"/>
              </w:rPr>
              <w:t>Spec (95% CI)</w:t>
            </w:r>
          </w:p>
        </w:tc>
        <w:tc>
          <w:tcPr>
            <w:tcW w:type="dxa" w:w="1872"/>
            <w:shd w:val="clear" w:color="auto" w:fill="305496"/>
            <w:vAlign w:val="center"/>
          </w:tcPr>
          <w:p>
            <w:r/>
            <w:r>
              <w:rPr>
                <w:rFonts w:ascii="Calibri" w:hAnsi="Calibri"/>
                <w:b/>
                <w:color w:val="FFFFFF"/>
                <w:sz w:val="20"/>
              </w:rPr>
              <w:t>PPV (95% CI)</w:t>
            </w:r>
          </w:p>
        </w:tc>
        <w:tc>
          <w:tcPr>
            <w:tcW w:type="dxa" w:w="1872"/>
            <w:shd w:val="clear" w:color="auto" w:fill="305496"/>
            <w:vAlign w:val="center"/>
          </w:tcPr>
          <w:p>
            <w:r/>
            <w:r>
              <w:rPr>
                <w:rFonts w:ascii="Calibri" w:hAnsi="Calibri"/>
                <w:b/>
                <w:color w:val="FFFFFF"/>
                <w:sz w:val="20"/>
              </w:rPr>
              <w:t>NPV (95% CI)</w:t>
            </w:r>
          </w:p>
        </w:tc>
      </w:tr>
      <w:tr>
        <w:tc>
          <w:tcPr>
            <w:tcW w:type="dxa" w:w="1872"/>
          </w:tcPr>
          <w:p>
            <w:r/>
            <w:r>
              <w:rPr>
                <w:rFonts w:ascii="Calibri" w:hAnsi="Calibri"/>
                <w:sz w:val="20"/>
              </w:rPr>
              <w:t>TR≥TR3</w:t>
            </w:r>
          </w:p>
        </w:tc>
        <w:tc>
          <w:tcPr>
            <w:tcW w:type="dxa" w:w="1872"/>
          </w:tcPr>
          <w:p>
            <w:r/>
            <w:r>
              <w:rPr>
                <w:rFonts w:ascii="Calibri" w:hAnsi="Calibri"/>
                <w:sz w:val="20"/>
              </w:rPr>
              <w:t>87.0% (85.2–88.6)</w:t>
            </w:r>
          </w:p>
        </w:tc>
        <w:tc>
          <w:tcPr>
            <w:tcW w:type="dxa" w:w="1872"/>
          </w:tcPr>
          <w:p>
            <w:r/>
            <w:r>
              <w:rPr>
                <w:rFonts w:ascii="Calibri" w:hAnsi="Calibri"/>
                <w:sz w:val="20"/>
              </w:rPr>
              <w:t>23.6% (21.7–25.5)</w:t>
            </w:r>
          </w:p>
        </w:tc>
        <w:tc>
          <w:tcPr>
            <w:tcW w:type="dxa" w:w="1872"/>
          </w:tcPr>
          <w:p>
            <w:r/>
            <w:r>
              <w:rPr>
                <w:rFonts w:ascii="Calibri" w:hAnsi="Calibri"/>
                <w:sz w:val="20"/>
              </w:rPr>
              <w:t>47.0% (45.2–48.9)</w:t>
            </w:r>
          </w:p>
        </w:tc>
        <w:tc>
          <w:tcPr>
            <w:tcW w:type="dxa" w:w="1872"/>
          </w:tcPr>
          <w:p>
            <w:r/>
            <w:r>
              <w:rPr>
                <w:rFonts w:ascii="Calibri" w:hAnsi="Calibri"/>
                <w:sz w:val="20"/>
              </w:rPr>
              <w:t>70.0% (66.3–73.4)</w:t>
            </w:r>
          </w:p>
        </w:tc>
      </w:tr>
      <w:tr>
        <w:tc>
          <w:tcPr>
            <w:tcW w:type="dxa" w:w="1872"/>
          </w:tcPr>
          <w:p>
            <w:r/>
            <w:r>
              <w:rPr>
                <w:rFonts w:ascii="Calibri" w:hAnsi="Calibri"/>
                <w:sz w:val="20"/>
              </w:rPr>
              <w:t>TR≥TR4 (Youden optimal, J=0.271)</w:t>
            </w:r>
          </w:p>
        </w:tc>
        <w:tc>
          <w:tcPr>
            <w:tcW w:type="dxa" w:w="1872"/>
          </w:tcPr>
          <w:p>
            <w:r/>
            <w:r>
              <w:rPr>
                <w:rFonts w:ascii="Calibri" w:hAnsi="Calibri"/>
                <w:sz w:val="20"/>
              </w:rPr>
              <w:t>71.3% (68.9–73.5)</w:t>
            </w:r>
          </w:p>
        </w:tc>
        <w:tc>
          <w:tcPr>
            <w:tcW w:type="dxa" w:w="1872"/>
          </w:tcPr>
          <w:p>
            <w:r/>
            <w:r>
              <w:rPr>
                <w:rFonts w:ascii="Calibri" w:hAnsi="Calibri"/>
                <w:sz w:val="20"/>
              </w:rPr>
              <w:t>55.9% (53.6–58.1)</w:t>
            </w:r>
          </w:p>
        </w:tc>
        <w:tc>
          <w:tcPr>
            <w:tcW w:type="dxa" w:w="1872"/>
          </w:tcPr>
          <w:p>
            <w:r/>
            <w:r>
              <w:rPr>
                <w:rFonts w:ascii="Calibri" w:hAnsi="Calibri"/>
                <w:sz w:val="20"/>
              </w:rPr>
              <w:t>55.7% (53.5–58.0)</w:t>
            </w:r>
          </w:p>
        </w:tc>
        <w:tc>
          <w:tcPr>
            <w:tcW w:type="dxa" w:w="1872"/>
          </w:tcPr>
          <w:p>
            <w:r/>
            <w:r>
              <w:rPr>
                <w:rFonts w:ascii="Calibri" w:hAnsi="Calibri"/>
                <w:sz w:val="20"/>
              </w:rPr>
              <w:t>71.4% (69.0–73.6)</w:t>
            </w:r>
          </w:p>
        </w:tc>
      </w:tr>
      <w:tr>
        <w:tc>
          <w:tcPr>
            <w:tcW w:type="dxa" w:w="1872"/>
          </w:tcPr>
          <w:p>
            <w:r/>
            <w:r>
              <w:rPr>
                <w:rFonts w:ascii="Calibri" w:hAnsi="Calibri"/>
                <w:sz w:val="20"/>
              </w:rPr>
              <w:t>TR≥TR5</w:t>
            </w:r>
          </w:p>
        </w:tc>
        <w:tc>
          <w:tcPr>
            <w:tcW w:type="dxa" w:w="1872"/>
          </w:tcPr>
          <w:p>
            <w:r/>
            <w:r>
              <w:rPr>
                <w:rFonts w:ascii="Calibri" w:hAnsi="Calibri"/>
                <w:sz w:val="20"/>
              </w:rPr>
              <w:t>55.5% (53.0–58.0)</w:t>
            </w:r>
          </w:p>
        </w:tc>
        <w:tc>
          <w:tcPr>
            <w:tcW w:type="dxa" w:w="1872"/>
          </w:tcPr>
          <w:p>
            <w:r/>
            <w:r>
              <w:rPr>
                <w:rFonts w:ascii="Calibri" w:hAnsi="Calibri"/>
                <w:sz w:val="20"/>
              </w:rPr>
              <w:t>69.5% (67.4–71.5)</w:t>
            </w:r>
          </w:p>
        </w:tc>
        <w:tc>
          <w:tcPr>
            <w:tcW w:type="dxa" w:w="1872"/>
          </w:tcPr>
          <w:p>
            <w:r/>
            <w:r>
              <w:rPr>
                <w:rFonts w:ascii="Calibri" w:hAnsi="Calibri"/>
                <w:sz w:val="20"/>
              </w:rPr>
              <w:t>58.7% (56.1–61.2)</w:t>
            </w:r>
          </w:p>
        </w:tc>
        <w:tc>
          <w:tcPr>
            <w:tcW w:type="dxa" w:w="1872"/>
          </w:tcPr>
          <w:p>
            <w:r/>
            <w:r>
              <w:rPr>
                <w:rFonts w:ascii="Calibri" w:hAnsi="Calibri"/>
                <w:sz w:val="20"/>
              </w:rPr>
              <w:t>66.7% (64.6–68.7)</w:t>
            </w:r>
          </w:p>
        </w:tc>
      </w:tr>
    </w:tbl>
    <w:p/>
    <w:p>
      <w:r>
        <w:rPr>
          <w:rFonts w:ascii="Calibri" w:hAnsi="Calibri"/>
          <w:b w:val="0"/>
          <w:i w:val="0"/>
          <w:sz w:val="22"/>
        </w:rPr>
        <w:t>The Youden-optimal threshold was TR≥TR4 (J=0.271). At this threshold, applying the ACR 2017 size-based FNA eligibility rules retrospectively flagged 1,553 patients as having undergone unnecessary FNA (TR&lt;TR3 or below the size threshold for their TR category) and identified 472 patients with cancers below the FNA threshold (true false-negatives of the ACR rule).</w:t>
      </w:r>
    </w:p>
    <w:p>
      <w:r>
        <w:rPr>
          <w:rFonts w:ascii="Calibri" w:hAnsi="Calibri"/>
          <w:b w:val="0"/>
          <w:i/>
          <w:sz w:val="22"/>
        </w:rPr>
        <w:t>[INSERT FIGURE 2: ROC curve, AUC=0.648 with 95% CI band]</w:t>
      </w:r>
    </w:p>
    <w:p>
      <w:pPr>
        <w:pStyle w:val="Heading2"/>
      </w:pPr>
      <w:r>
        <w:rPr>
          <w:rFonts w:ascii="Calibri" w:hAnsi="Calibri"/>
        </w:rPr>
        <w:t>Risk-of-malignancy by TI-RADS category and ACR-expected calibration (Table 3, Figure 3)</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305496"/>
            <w:vAlign w:val="center"/>
          </w:tcPr>
          <w:p>
            <w:r/>
            <w:r>
              <w:rPr>
                <w:rFonts w:ascii="Calibri" w:hAnsi="Calibri"/>
                <w:b/>
                <w:color w:val="FFFFFF"/>
                <w:sz w:val="20"/>
              </w:rPr>
              <w:t>TR</w:t>
            </w:r>
          </w:p>
        </w:tc>
        <w:tc>
          <w:tcPr>
            <w:tcW w:type="dxa" w:w="1560"/>
            <w:shd w:val="clear" w:color="auto" w:fill="305496"/>
            <w:vAlign w:val="center"/>
          </w:tcPr>
          <w:p>
            <w:r/>
            <w:r>
              <w:rPr>
                <w:rFonts w:ascii="Calibri" w:hAnsi="Calibri"/>
                <w:b/>
                <w:color w:val="FFFFFF"/>
                <w:sz w:val="20"/>
              </w:rPr>
              <w:t>n</w:t>
            </w:r>
          </w:p>
        </w:tc>
        <w:tc>
          <w:tcPr>
            <w:tcW w:type="dxa" w:w="1560"/>
            <w:shd w:val="clear" w:color="auto" w:fill="305496"/>
            <w:vAlign w:val="center"/>
          </w:tcPr>
          <w:p>
            <w:r/>
            <w:r>
              <w:rPr>
                <w:rFonts w:ascii="Calibri" w:hAnsi="Calibri"/>
                <w:b/>
                <w:color w:val="FFFFFF"/>
                <w:sz w:val="20"/>
              </w:rPr>
              <w:t>Malignant n</w:t>
            </w:r>
          </w:p>
        </w:tc>
        <w:tc>
          <w:tcPr>
            <w:tcW w:type="dxa" w:w="1560"/>
            <w:shd w:val="clear" w:color="auto" w:fill="305496"/>
            <w:vAlign w:val="center"/>
          </w:tcPr>
          <w:p>
            <w:r/>
            <w:r>
              <w:rPr>
                <w:rFonts w:ascii="Calibri" w:hAnsi="Calibri"/>
                <w:b/>
                <w:color w:val="FFFFFF"/>
                <w:sz w:val="20"/>
              </w:rPr>
              <w:t>Patient ROM (95% CI)</w:t>
            </w:r>
          </w:p>
        </w:tc>
        <w:tc>
          <w:tcPr>
            <w:tcW w:type="dxa" w:w="1560"/>
            <w:shd w:val="clear" w:color="auto" w:fill="305496"/>
            <w:vAlign w:val="center"/>
          </w:tcPr>
          <w:p>
            <w:r/>
            <w:r>
              <w:rPr>
                <w:rFonts w:ascii="Calibri" w:hAnsi="Calibri"/>
                <w:b/>
                <w:color w:val="FFFFFF"/>
                <w:sz w:val="20"/>
              </w:rPr>
              <w:t>ACR-expected</w:t>
            </w:r>
          </w:p>
        </w:tc>
        <w:tc>
          <w:tcPr>
            <w:tcW w:type="dxa" w:w="1560"/>
            <w:shd w:val="clear" w:color="auto" w:fill="305496"/>
            <w:vAlign w:val="center"/>
          </w:tcPr>
          <w:p>
            <w:r/>
            <w:r>
              <w:rPr>
                <w:rFonts w:ascii="Calibri" w:hAnsi="Calibri"/>
                <w:b/>
                <w:color w:val="FFFFFF"/>
                <w:sz w:val="20"/>
              </w:rPr>
              <w:t>Within band?</w:t>
            </w:r>
          </w:p>
        </w:tc>
      </w:tr>
      <w:tr>
        <w:tc>
          <w:tcPr>
            <w:tcW w:type="dxa" w:w="1560"/>
          </w:tcPr>
          <w:p>
            <w:r/>
            <w:r>
              <w:rPr>
                <w:rFonts w:ascii="Calibri" w:hAnsi="Calibri"/>
                <w:sz w:val="20"/>
              </w:rPr>
              <w:t>TR1</w:t>
            </w:r>
          </w:p>
        </w:tc>
        <w:tc>
          <w:tcPr>
            <w:tcW w:type="dxa" w:w="1560"/>
          </w:tcPr>
          <w:p>
            <w:r/>
            <w:r>
              <w:rPr>
                <w:rFonts w:ascii="Calibri" w:hAnsi="Calibri"/>
                <w:sz w:val="20"/>
              </w:rPr>
              <w:t>340</w:t>
            </w:r>
          </w:p>
        </w:tc>
        <w:tc>
          <w:tcPr>
            <w:tcW w:type="dxa" w:w="1560"/>
          </w:tcPr>
          <w:p>
            <w:r/>
            <w:r>
              <w:rPr>
                <w:rFonts w:ascii="Calibri" w:hAnsi="Calibri"/>
                <w:sz w:val="20"/>
              </w:rPr>
              <w:t>96</w:t>
            </w:r>
          </w:p>
        </w:tc>
        <w:tc>
          <w:tcPr>
            <w:tcW w:type="dxa" w:w="1560"/>
          </w:tcPr>
          <w:p>
            <w:r/>
            <w:r>
              <w:rPr>
                <w:rFonts w:ascii="Calibri" w:hAnsi="Calibri"/>
                <w:sz w:val="20"/>
              </w:rPr>
              <w:t>28.2% (23.7–33.2)</w:t>
            </w:r>
          </w:p>
        </w:tc>
        <w:tc>
          <w:tcPr>
            <w:tcW w:type="dxa" w:w="1560"/>
          </w:tcPr>
          <w:p>
            <w:r/>
            <w:r>
              <w:rPr>
                <w:rFonts w:ascii="Calibri" w:hAnsi="Calibri"/>
                <w:sz w:val="20"/>
              </w:rPr>
              <w:t>&lt;2%</w:t>
            </w:r>
          </w:p>
        </w:tc>
        <w:tc>
          <w:tcPr>
            <w:tcW w:type="dxa" w:w="1560"/>
          </w:tcPr>
          <w:p>
            <w:r/>
            <w:r>
              <w:rPr>
                <w:rFonts w:ascii="Calibri" w:hAnsi="Calibri"/>
                <w:sz w:val="20"/>
              </w:rPr>
              <w:t>No</w:t>
            </w:r>
          </w:p>
        </w:tc>
      </w:tr>
      <w:tr>
        <w:tc>
          <w:tcPr>
            <w:tcW w:type="dxa" w:w="1560"/>
          </w:tcPr>
          <w:p>
            <w:r/>
            <w:r>
              <w:rPr>
                <w:rFonts w:ascii="Calibri" w:hAnsi="Calibri"/>
                <w:sz w:val="20"/>
              </w:rPr>
              <w:t>TR2</w:t>
            </w:r>
          </w:p>
        </w:tc>
        <w:tc>
          <w:tcPr>
            <w:tcW w:type="dxa" w:w="1560"/>
          </w:tcPr>
          <w:p>
            <w:r/>
            <w:r>
              <w:rPr>
                <w:rFonts w:ascii="Calibri" w:hAnsi="Calibri"/>
                <w:sz w:val="20"/>
              </w:rPr>
              <w:t>299</w:t>
            </w:r>
          </w:p>
        </w:tc>
        <w:tc>
          <w:tcPr>
            <w:tcW w:type="dxa" w:w="1560"/>
          </w:tcPr>
          <w:p>
            <w:r/>
            <w:r>
              <w:rPr>
                <w:rFonts w:ascii="Calibri" w:hAnsi="Calibri"/>
                <w:sz w:val="20"/>
              </w:rPr>
              <w:t>96</w:t>
            </w:r>
          </w:p>
        </w:tc>
        <w:tc>
          <w:tcPr>
            <w:tcW w:type="dxa" w:w="1560"/>
          </w:tcPr>
          <w:p>
            <w:r/>
            <w:r>
              <w:rPr>
                <w:rFonts w:ascii="Calibri" w:hAnsi="Calibri"/>
                <w:sz w:val="20"/>
              </w:rPr>
              <w:t>32.1% (27.1–37.6)</w:t>
            </w:r>
          </w:p>
        </w:tc>
        <w:tc>
          <w:tcPr>
            <w:tcW w:type="dxa" w:w="1560"/>
          </w:tcPr>
          <w:p>
            <w:r/>
            <w:r>
              <w:rPr>
                <w:rFonts w:ascii="Calibri" w:hAnsi="Calibri"/>
                <w:sz w:val="20"/>
              </w:rPr>
              <w:t>&lt;2%</w:t>
            </w:r>
          </w:p>
        </w:tc>
        <w:tc>
          <w:tcPr>
            <w:tcW w:type="dxa" w:w="1560"/>
          </w:tcPr>
          <w:p>
            <w:r/>
            <w:r>
              <w:rPr>
                <w:rFonts w:ascii="Calibri" w:hAnsi="Calibri"/>
                <w:sz w:val="20"/>
              </w:rPr>
              <w:t>No</w:t>
            </w:r>
          </w:p>
        </w:tc>
      </w:tr>
      <w:tr>
        <w:tc>
          <w:tcPr>
            <w:tcW w:type="dxa" w:w="1560"/>
          </w:tcPr>
          <w:p>
            <w:r/>
            <w:r>
              <w:rPr>
                <w:rFonts w:ascii="Calibri" w:hAnsi="Calibri"/>
                <w:sz w:val="20"/>
              </w:rPr>
              <w:t>TR3</w:t>
            </w:r>
          </w:p>
        </w:tc>
        <w:tc>
          <w:tcPr>
            <w:tcW w:type="dxa" w:w="1560"/>
          </w:tcPr>
          <w:p>
            <w:r/>
            <w:r>
              <w:rPr>
                <w:rFonts w:ascii="Calibri" w:hAnsi="Calibri"/>
                <w:sz w:val="20"/>
              </w:rPr>
              <w:t>845</w:t>
            </w:r>
          </w:p>
        </w:tc>
        <w:tc>
          <w:tcPr>
            <w:tcW w:type="dxa" w:w="1560"/>
          </w:tcPr>
          <w:p>
            <w:r/>
            <w:r>
              <w:rPr>
                <w:rFonts w:ascii="Calibri" w:hAnsi="Calibri"/>
                <w:sz w:val="20"/>
              </w:rPr>
              <w:t>233</w:t>
            </w:r>
          </w:p>
        </w:tc>
        <w:tc>
          <w:tcPr>
            <w:tcW w:type="dxa" w:w="1560"/>
          </w:tcPr>
          <w:p>
            <w:r/>
            <w:r>
              <w:rPr>
                <w:rFonts w:ascii="Calibri" w:hAnsi="Calibri"/>
                <w:sz w:val="20"/>
              </w:rPr>
              <w:t>27.6% (24.7–30.7)</w:t>
            </w:r>
          </w:p>
        </w:tc>
        <w:tc>
          <w:tcPr>
            <w:tcW w:type="dxa" w:w="1560"/>
          </w:tcPr>
          <w:p>
            <w:r/>
            <w:r>
              <w:rPr>
                <w:rFonts w:ascii="Calibri" w:hAnsi="Calibri"/>
                <w:sz w:val="20"/>
              </w:rPr>
              <w:t>&lt;5%</w:t>
            </w:r>
          </w:p>
        </w:tc>
        <w:tc>
          <w:tcPr>
            <w:tcW w:type="dxa" w:w="1560"/>
          </w:tcPr>
          <w:p>
            <w:r/>
            <w:r>
              <w:rPr>
                <w:rFonts w:ascii="Calibri" w:hAnsi="Calibri"/>
                <w:sz w:val="20"/>
              </w:rPr>
              <w:t>No</w:t>
            </w:r>
          </w:p>
        </w:tc>
      </w:tr>
      <w:tr>
        <w:tc>
          <w:tcPr>
            <w:tcW w:type="dxa" w:w="1560"/>
          </w:tcPr>
          <w:p>
            <w:r/>
            <w:r>
              <w:rPr>
                <w:rFonts w:ascii="Calibri" w:hAnsi="Calibri"/>
                <w:sz w:val="20"/>
              </w:rPr>
              <w:t>TR4</w:t>
            </w:r>
          </w:p>
        </w:tc>
        <w:tc>
          <w:tcPr>
            <w:tcW w:type="dxa" w:w="1560"/>
          </w:tcPr>
          <w:p>
            <w:r/>
            <w:r>
              <w:rPr>
                <w:rFonts w:ascii="Calibri" w:hAnsi="Calibri"/>
                <w:sz w:val="20"/>
              </w:rPr>
              <w:t>492</w:t>
            </w:r>
          </w:p>
        </w:tc>
        <w:tc>
          <w:tcPr>
            <w:tcW w:type="dxa" w:w="1560"/>
          </w:tcPr>
          <w:p>
            <w:r/>
            <w:r>
              <w:rPr>
                <w:rFonts w:ascii="Calibri" w:hAnsi="Calibri"/>
                <w:sz w:val="20"/>
              </w:rPr>
              <w:t>233</w:t>
            </w:r>
          </w:p>
        </w:tc>
        <w:tc>
          <w:tcPr>
            <w:tcW w:type="dxa" w:w="1560"/>
          </w:tcPr>
          <w:p>
            <w:r/>
            <w:r>
              <w:rPr>
                <w:rFonts w:ascii="Calibri" w:hAnsi="Calibri"/>
                <w:sz w:val="20"/>
              </w:rPr>
              <w:t>47.4% (43.0–51.8)</w:t>
            </w:r>
          </w:p>
        </w:tc>
        <w:tc>
          <w:tcPr>
            <w:tcW w:type="dxa" w:w="1560"/>
          </w:tcPr>
          <w:p>
            <w:r/>
            <w:r>
              <w:rPr>
                <w:rFonts w:ascii="Calibri" w:hAnsi="Calibri"/>
                <w:sz w:val="20"/>
              </w:rPr>
              <w:t>5–20%</w:t>
            </w:r>
          </w:p>
        </w:tc>
        <w:tc>
          <w:tcPr>
            <w:tcW w:type="dxa" w:w="1560"/>
          </w:tcPr>
          <w:p>
            <w:r/>
            <w:r>
              <w:rPr>
                <w:rFonts w:ascii="Calibri" w:hAnsi="Calibri"/>
                <w:sz w:val="20"/>
              </w:rPr>
              <w:t>No</w:t>
            </w:r>
          </w:p>
        </w:tc>
      </w:tr>
      <w:tr>
        <w:tc>
          <w:tcPr>
            <w:tcW w:type="dxa" w:w="1560"/>
          </w:tcPr>
          <w:p>
            <w:r/>
            <w:r>
              <w:rPr>
                <w:rFonts w:ascii="Calibri" w:hAnsi="Calibri"/>
                <w:sz w:val="20"/>
              </w:rPr>
              <w:t>TR5</w:t>
            </w:r>
          </w:p>
        </w:tc>
        <w:tc>
          <w:tcPr>
            <w:tcW w:type="dxa" w:w="1560"/>
          </w:tcPr>
          <w:p>
            <w:r/>
            <w:r>
              <w:rPr>
                <w:rFonts w:ascii="Calibri" w:hAnsi="Calibri"/>
                <w:sz w:val="20"/>
              </w:rPr>
              <w:t>1,399</w:t>
            </w:r>
          </w:p>
        </w:tc>
        <w:tc>
          <w:tcPr>
            <w:tcW w:type="dxa" w:w="1560"/>
          </w:tcPr>
          <w:p>
            <w:r/>
            <w:r>
              <w:rPr>
                <w:rFonts w:ascii="Calibri" w:hAnsi="Calibri"/>
                <w:sz w:val="20"/>
              </w:rPr>
              <w:t>821</w:t>
            </w:r>
          </w:p>
        </w:tc>
        <w:tc>
          <w:tcPr>
            <w:tcW w:type="dxa" w:w="1560"/>
          </w:tcPr>
          <w:p>
            <w:r/>
            <w:r>
              <w:rPr>
                <w:rFonts w:ascii="Calibri" w:hAnsi="Calibri"/>
                <w:sz w:val="20"/>
              </w:rPr>
              <w:t>58.7% (56.1–61.2)</w:t>
            </w:r>
          </w:p>
        </w:tc>
        <w:tc>
          <w:tcPr>
            <w:tcW w:type="dxa" w:w="1560"/>
          </w:tcPr>
          <w:p>
            <w:r/>
            <w:r>
              <w:rPr>
                <w:rFonts w:ascii="Calibri" w:hAnsi="Calibri"/>
                <w:sz w:val="20"/>
              </w:rPr>
              <w:t>&gt;20%</w:t>
            </w:r>
          </w:p>
        </w:tc>
        <w:tc>
          <w:tcPr>
            <w:tcW w:type="dxa" w:w="1560"/>
          </w:tcPr>
          <w:p>
            <w:r/>
            <w:r>
              <w:rPr>
                <w:rFonts w:ascii="Calibri" w:hAnsi="Calibri"/>
                <w:sz w:val="20"/>
              </w:rPr>
              <w:t>Yes</w:t>
            </w:r>
          </w:p>
        </w:tc>
      </w:tr>
    </w:tbl>
    <w:p/>
    <w:p>
      <w:r>
        <w:rPr>
          <w:rFonts w:ascii="Calibri" w:hAnsi="Calibri"/>
          <w:b w:val="0"/>
          <w:i w:val="0"/>
          <w:sz w:val="22"/>
        </w:rPr>
        <w:t>Patient-level ROM substantially exceeded the ACR-published expected ranges at TR1–TR4. Only TR5 ROM fell within the expected band (&gt;20%). The directional monotonicity from TR3 (27.6%) to TR4 (47.4%) to TR5 (58.7%) was preserved, but the absolute magnitudes were elevated by 18 to 30 percentage points relative to ACR expectation at TR3 and TR4.</w:t>
      </w:r>
    </w:p>
    <w:p>
      <w:r>
        <w:rPr>
          <w:rFonts w:ascii="Calibri" w:hAnsi="Calibri"/>
          <w:b w:val="0"/>
          <w:i/>
          <w:sz w:val="22"/>
        </w:rPr>
        <w:t>[INSERT FIGURE 3: Patient-level ROM bars by TR with ACR-expected band overlay]</w:t>
      </w:r>
    </w:p>
    <w:p>
      <w:pPr>
        <w:pStyle w:val="Heading2"/>
      </w:pPr>
      <w:r>
        <w:rPr>
          <w:rFonts w:ascii="Calibri" w:hAnsi="Calibri"/>
        </w:rPr>
        <w:t>Sister nodule-level analysis: ACR-expected calibration restored (Figure 3b)</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305496"/>
            <w:vAlign w:val="center"/>
          </w:tcPr>
          <w:p>
            <w:r/>
            <w:r>
              <w:rPr>
                <w:rFonts w:ascii="Calibri" w:hAnsi="Calibri"/>
                <w:b/>
                <w:color w:val="FFFFFF"/>
                <w:sz w:val="20"/>
              </w:rPr>
              <w:t>TR</w:t>
            </w:r>
          </w:p>
        </w:tc>
        <w:tc>
          <w:tcPr>
            <w:tcW w:type="dxa" w:w="1560"/>
            <w:shd w:val="clear" w:color="auto" w:fill="305496"/>
            <w:vAlign w:val="center"/>
          </w:tcPr>
          <w:p>
            <w:r/>
            <w:r>
              <w:rPr>
                <w:rFonts w:ascii="Calibri" w:hAnsi="Calibri"/>
                <w:b/>
                <w:color w:val="FFFFFF"/>
                <w:sz w:val="20"/>
              </w:rPr>
              <w:t>Patient ROM (95% CI)</w:t>
            </w:r>
          </w:p>
        </w:tc>
        <w:tc>
          <w:tcPr>
            <w:tcW w:type="dxa" w:w="1560"/>
            <w:shd w:val="clear" w:color="auto" w:fill="305496"/>
            <w:vAlign w:val="center"/>
          </w:tcPr>
          <w:p>
            <w:r/>
            <w:r>
              <w:rPr>
                <w:rFonts w:ascii="Calibri" w:hAnsi="Calibri"/>
                <w:b/>
                <w:color w:val="FFFFFF"/>
                <w:sz w:val="20"/>
              </w:rPr>
              <w:t>Nodule ROM (95% CI)</w:t>
            </w:r>
          </w:p>
        </w:tc>
        <w:tc>
          <w:tcPr>
            <w:tcW w:type="dxa" w:w="1560"/>
            <w:shd w:val="clear" w:color="auto" w:fill="305496"/>
            <w:vAlign w:val="center"/>
          </w:tcPr>
          <w:p>
            <w:r/>
            <w:r>
              <w:rPr>
                <w:rFonts w:ascii="Calibri" w:hAnsi="Calibri"/>
                <w:b/>
                <w:color w:val="FFFFFF"/>
                <w:sz w:val="20"/>
              </w:rPr>
              <w:t>Inflation (pp)</w:t>
            </w:r>
          </w:p>
        </w:tc>
        <w:tc>
          <w:tcPr>
            <w:tcW w:type="dxa" w:w="1560"/>
            <w:shd w:val="clear" w:color="auto" w:fill="305496"/>
            <w:vAlign w:val="center"/>
          </w:tcPr>
          <w:p>
            <w:r/>
            <w:r>
              <w:rPr>
                <w:rFonts w:ascii="Calibri" w:hAnsi="Calibri"/>
                <w:b/>
                <w:color w:val="FFFFFF"/>
                <w:sz w:val="20"/>
              </w:rPr>
              <w:t>ACR band</w:t>
            </w:r>
          </w:p>
        </w:tc>
        <w:tc>
          <w:tcPr>
            <w:tcW w:type="dxa" w:w="1560"/>
            <w:shd w:val="clear" w:color="auto" w:fill="305496"/>
            <w:vAlign w:val="center"/>
          </w:tcPr>
          <w:p>
            <w:r/>
            <w:r>
              <w:rPr>
                <w:rFonts w:ascii="Calibri" w:hAnsi="Calibri"/>
                <w:b/>
                <w:color w:val="FFFFFF"/>
                <w:sz w:val="20"/>
              </w:rPr>
              <w:t>Nodule in band?</w:t>
            </w:r>
          </w:p>
        </w:tc>
      </w:tr>
      <w:tr>
        <w:tc>
          <w:tcPr>
            <w:tcW w:type="dxa" w:w="1560"/>
          </w:tcPr>
          <w:p>
            <w:r/>
            <w:r>
              <w:rPr>
                <w:rFonts w:ascii="Calibri" w:hAnsi="Calibri"/>
                <w:sz w:val="20"/>
              </w:rPr>
              <w:t>TR2</w:t>
            </w:r>
          </w:p>
        </w:tc>
        <w:tc>
          <w:tcPr>
            <w:tcW w:type="dxa" w:w="1560"/>
          </w:tcPr>
          <w:p>
            <w:r/>
            <w:r>
              <w:rPr>
                <w:rFonts w:ascii="Calibri" w:hAnsi="Calibri"/>
                <w:sz w:val="20"/>
              </w:rPr>
              <w:t>32.1% (27.1–37.6)</w:t>
            </w:r>
          </w:p>
        </w:tc>
        <w:tc>
          <w:tcPr>
            <w:tcW w:type="dxa" w:w="1560"/>
          </w:tcPr>
          <w:p>
            <w:r/>
            <w:r>
              <w:rPr>
                <w:rFonts w:ascii="Calibri" w:hAnsi="Calibri"/>
                <w:sz w:val="20"/>
              </w:rPr>
              <w:t>12.9% (5.1–28.9)</w:t>
            </w:r>
          </w:p>
        </w:tc>
        <w:tc>
          <w:tcPr>
            <w:tcW w:type="dxa" w:w="1560"/>
          </w:tcPr>
          <w:p>
            <w:r/>
            <w:r>
              <w:rPr>
                <w:rFonts w:ascii="Calibri" w:hAnsi="Calibri"/>
                <w:sz w:val="20"/>
              </w:rPr>
              <w:t>+19.2</w:t>
            </w:r>
          </w:p>
        </w:tc>
        <w:tc>
          <w:tcPr>
            <w:tcW w:type="dxa" w:w="1560"/>
          </w:tcPr>
          <w:p>
            <w:r/>
            <w:r>
              <w:rPr>
                <w:rFonts w:ascii="Calibri" w:hAnsi="Calibri"/>
                <w:sz w:val="20"/>
              </w:rPr>
              <w:t>&lt;2%</w:t>
            </w:r>
          </w:p>
        </w:tc>
        <w:tc>
          <w:tcPr>
            <w:tcW w:type="dxa" w:w="1560"/>
          </w:tcPr>
          <w:p>
            <w:r/>
            <w:r>
              <w:rPr>
                <w:rFonts w:ascii="Calibri" w:hAnsi="Calibri"/>
                <w:sz w:val="20"/>
              </w:rPr>
              <w:t>No</w:t>
            </w:r>
          </w:p>
        </w:tc>
      </w:tr>
      <w:tr>
        <w:tc>
          <w:tcPr>
            <w:tcW w:type="dxa" w:w="1560"/>
          </w:tcPr>
          <w:p>
            <w:r/>
            <w:r>
              <w:rPr>
                <w:rFonts w:ascii="Calibri" w:hAnsi="Calibri"/>
                <w:sz w:val="20"/>
              </w:rPr>
              <w:t>TR3</w:t>
            </w:r>
          </w:p>
        </w:tc>
        <w:tc>
          <w:tcPr>
            <w:tcW w:type="dxa" w:w="1560"/>
          </w:tcPr>
          <w:p>
            <w:r/>
            <w:r>
              <w:rPr>
                <w:rFonts w:ascii="Calibri" w:hAnsi="Calibri"/>
                <w:sz w:val="20"/>
              </w:rPr>
              <w:t>27.6% (24.7–30.7)</w:t>
            </w:r>
          </w:p>
        </w:tc>
        <w:tc>
          <w:tcPr>
            <w:tcW w:type="dxa" w:w="1560"/>
          </w:tcPr>
          <w:p>
            <w:r/>
            <w:r>
              <w:rPr>
                <w:rFonts w:ascii="Calibri" w:hAnsi="Calibri"/>
                <w:sz w:val="20"/>
              </w:rPr>
              <w:t>9.1% (7.8–10.7)</w:t>
            </w:r>
          </w:p>
        </w:tc>
        <w:tc>
          <w:tcPr>
            <w:tcW w:type="dxa" w:w="1560"/>
          </w:tcPr>
          <w:p>
            <w:r/>
            <w:r>
              <w:rPr>
                <w:rFonts w:ascii="Calibri" w:hAnsi="Calibri"/>
                <w:sz w:val="20"/>
              </w:rPr>
              <w:t>+18.5</w:t>
            </w:r>
          </w:p>
        </w:tc>
        <w:tc>
          <w:tcPr>
            <w:tcW w:type="dxa" w:w="1560"/>
          </w:tcPr>
          <w:p>
            <w:r/>
            <w:r>
              <w:rPr>
                <w:rFonts w:ascii="Calibri" w:hAnsi="Calibri"/>
                <w:sz w:val="20"/>
              </w:rPr>
              <w:t>&lt;5%</w:t>
            </w:r>
          </w:p>
        </w:tc>
        <w:tc>
          <w:tcPr>
            <w:tcW w:type="dxa" w:w="1560"/>
          </w:tcPr>
          <w:p>
            <w:r/>
            <w:r>
              <w:rPr>
                <w:rFonts w:ascii="Calibri" w:hAnsi="Calibri"/>
                <w:sz w:val="20"/>
              </w:rPr>
              <w:t>No</w:t>
            </w:r>
          </w:p>
        </w:tc>
      </w:tr>
      <w:tr>
        <w:tc>
          <w:tcPr>
            <w:tcW w:type="dxa" w:w="1560"/>
          </w:tcPr>
          <w:p>
            <w:r/>
            <w:r>
              <w:rPr>
                <w:rFonts w:ascii="Calibri" w:hAnsi="Calibri"/>
                <w:sz w:val="20"/>
              </w:rPr>
              <w:t>TR4</w:t>
            </w:r>
          </w:p>
        </w:tc>
        <w:tc>
          <w:tcPr>
            <w:tcW w:type="dxa" w:w="1560"/>
          </w:tcPr>
          <w:p>
            <w:r/>
            <w:r>
              <w:rPr>
                <w:rFonts w:ascii="Calibri" w:hAnsi="Calibri"/>
                <w:sz w:val="20"/>
              </w:rPr>
              <w:t>47.4% (43.0–51.8)</w:t>
            </w:r>
          </w:p>
        </w:tc>
        <w:tc>
          <w:tcPr>
            <w:tcW w:type="dxa" w:w="1560"/>
          </w:tcPr>
          <w:p>
            <w:r/>
            <w:r>
              <w:rPr>
                <w:rFonts w:ascii="Calibri" w:hAnsi="Calibri"/>
                <w:sz w:val="20"/>
              </w:rPr>
              <w:t>18.7% (16.3–21.5)</w:t>
            </w:r>
          </w:p>
        </w:tc>
        <w:tc>
          <w:tcPr>
            <w:tcW w:type="dxa" w:w="1560"/>
          </w:tcPr>
          <w:p>
            <w:r/>
            <w:r>
              <w:rPr>
                <w:rFonts w:ascii="Calibri" w:hAnsi="Calibri"/>
                <w:sz w:val="20"/>
              </w:rPr>
              <w:t>+28.7</w:t>
            </w:r>
          </w:p>
        </w:tc>
        <w:tc>
          <w:tcPr>
            <w:tcW w:type="dxa" w:w="1560"/>
          </w:tcPr>
          <w:p>
            <w:r/>
            <w:r>
              <w:rPr>
                <w:rFonts w:ascii="Calibri" w:hAnsi="Calibri"/>
                <w:sz w:val="20"/>
              </w:rPr>
              <w:t>5–20%</w:t>
            </w:r>
          </w:p>
        </w:tc>
        <w:tc>
          <w:tcPr>
            <w:tcW w:type="dxa" w:w="1560"/>
          </w:tcPr>
          <w:p>
            <w:r/>
            <w:r>
              <w:rPr>
                <w:rFonts w:ascii="Calibri" w:hAnsi="Calibri"/>
                <w:sz w:val="20"/>
              </w:rPr>
              <w:t>Yes</w:t>
            </w:r>
          </w:p>
        </w:tc>
      </w:tr>
      <w:tr>
        <w:tc>
          <w:tcPr>
            <w:tcW w:type="dxa" w:w="1560"/>
          </w:tcPr>
          <w:p>
            <w:r/>
            <w:r>
              <w:rPr>
                <w:rFonts w:ascii="Calibri" w:hAnsi="Calibri"/>
                <w:sz w:val="20"/>
              </w:rPr>
              <w:t>TR5</w:t>
            </w:r>
          </w:p>
        </w:tc>
        <w:tc>
          <w:tcPr>
            <w:tcW w:type="dxa" w:w="1560"/>
          </w:tcPr>
          <w:p>
            <w:r/>
            <w:r>
              <w:rPr>
                <w:rFonts w:ascii="Calibri" w:hAnsi="Calibri"/>
                <w:sz w:val="20"/>
              </w:rPr>
              <w:t>58.7% (56.1–61.2)</w:t>
            </w:r>
          </w:p>
        </w:tc>
        <w:tc>
          <w:tcPr>
            <w:tcW w:type="dxa" w:w="1560"/>
          </w:tcPr>
          <w:p>
            <w:r/>
            <w:r>
              <w:rPr>
                <w:rFonts w:ascii="Calibri" w:hAnsi="Calibri"/>
                <w:sz w:val="20"/>
              </w:rPr>
              <w:t>26.1% (23.7–28.6)</w:t>
            </w:r>
          </w:p>
        </w:tc>
        <w:tc>
          <w:tcPr>
            <w:tcW w:type="dxa" w:w="1560"/>
          </w:tcPr>
          <w:p>
            <w:r/>
            <w:r>
              <w:rPr>
                <w:rFonts w:ascii="Calibri" w:hAnsi="Calibri"/>
                <w:sz w:val="20"/>
              </w:rPr>
              <w:t>+32.6</w:t>
            </w:r>
          </w:p>
        </w:tc>
        <w:tc>
          <w:tcPr>
            <w:tcW w:type="dxa" w:w="1560"/>
          </w:tcPr>
          <w:p>
            <w:r/>
            <w:r>
              <w:rPr>
                <w:rFonts w:ascii="Calibri" w:hAnsi="Calibri"/>
                <w:sz w:val="20"/>
              </w:rPr>
              <w:t>&gt;20%</w:t>
            </w:r>
          </w:p>
        </w:tc>
        <w:tc>
          <w:tcPr>
            <w:tcW w:type="dxa" w:w="1560"/>
          </w:tcPr>
          <w:p>
            <w:r/>
            <w:r>
              <w:rPr>
                <w:rFonts w:ascii="Calibri" w:hAnsi="Calibri"/>
                <w:sz w:val="20"/>
              </w:rPr>
              <w:t>Yes</w:t>
            </w:r>
          </w:p>
        </w:tc>
      </w:tr>
    </w:tbl>
    <w:p/>
    <w:p>
      <w:r>
        <w:rPr>
          <w:rFonts w:ascii="Calibri" w:hAnsi="Calibri"/>
          <w:b w:val="0"/>
          <w:i w:val="0"/>
          <w:sz w:val="22"/>
        </w:rPr>
        <w:t>Re-analyzing the same data at the nodule grain (n=3,687 strict ACR-eligible nodules from 1,668 patients; 631 path-malignant) recovered ACR-expected calibration at TR4 and TR5. Per-nodule TR4 ROM was 18.7% (within the ACR 5–20% band) and TR5 was 26.1% (within the &gt;20% band). Discrimination was preserved (per-nodule AUC 0.640 vs patient AUC 0.648). Per-nodule diagnostic performance at TR≥TR4 was sensitivity 76.9%, specificity 47.1%, PPV 23.1%, NPV 90.8%.</w:t>
      </w:r>
    </w:p>
    <w:p>
      <w:r>
        <w:rPr>
          <w:rFonts w:ascii="Calibri" w:hAnsi="Calibri"/>
          <w:b w:val="0"/>
          <w:i w:val="0"/>
          <w:sz w:val="22"/>
        </w:rPr>
        <w:t>The percentage-point inflation between patient and nodule grain (TR4 +28.7 pp; TR5 +32.6 pp) is the quantitative magnitude of multinodular attribution error in this cohort.</w:t>
      </w:r>
    </w:p>
    <w:p>
      <w:r>
        <w:rPr>
          <w:rFonts w:ascii="Calibri" w:hAnsi="Calibri"/>
          <w:b w:val="0"/>
          <w:i/>
          <w:sz w:val="22"/>
        </w:rPr>
        <w:t>[INSERT FIGURE 3b: Patient vs nodule ROM with ACR bands; attribution error overlay]</w:t>
      </w:r>
    </w:p>
    <w:p>
      <w:pPr>
        <w:pStyle w:val="Heading2"/>
      </w:pPr>
      <w:r>
        <w:rPr>
          <w:rFonts w:ascii="Calibri" w:hAnsi="Calibri"/>
        </w:rPr>
        <w:t>Bethesda × TI-RADS cross-stratification (Table 4)</w:t>
      </w:r>
    </w:p>
    <w:p>
      <w:r>
        <w:rPr>
          <w:rFonts w:ascii="Calibri" w:hAnsi="Calibri"/>
          <w:b w:val="0"/>
          <w:i w:val="0"/>
          <w:sz w:val="22"/>
        </w:rPr>
        <w:t>Patient-level Bethesda distribution was: I (nondiagnostic) n=88 (ROM 29.5%), II (benign) n=897 (16.2%), III (AUS) n=403 (48.4%), IV (FN/SFN) n=275 (51.6%), V (suspicious) n=129 (89.9%), VI (malignant) n=588 (83.7%); 995 patients (29.5%) had no Bethesda result on file. The Bethesda × TR cross-stratification at the strict nodule level (Table 4) shows the expected concordance pattern, with most missing Bethesda cells driven by the FNA-linkage carry-forward limitation.</w:t>
      </w:r>
    </w:p>
    <w:p>
      <w:r>
        <w:rPr>
          <w:rFonts w:ascii="Calibri" w:hAnsi="Calibri"/>
          <w:b w:val="0"/>
          <w:i/>
          <w:sz w:val="22"/>
        </w:rPr>
        <w:t>[INSERT TABLE 4: Bethesda × TI-RADS strict-nodule contingency]</w:t>
      </w:r>
    </w:p>
    <w:p>
      <w:pPr>
        <w:pStyle w:val="Heading2"/>
      </w:pPr>
      <w:r>
        <w:rPr>
          <w:rFonts w:ascii="Calibri" w:hAnsi="Calibri"/>
        </w:rPr>
        <w:t>FNA-eligibility audit and unnecessary biopsy analysis</w:t>
      </w:r>
    </w:p>
    <w:p>
      <w:r>
        <w:rPr>
          <w:rFonts w:ascii="Calibri" w:hAnsi="Calibri"/>
          <w:b w:val="0"/>
          <w:i w:val="0"/>
          <w:sz w:val="22"/>
        </w:rPr>
        <w:t>Applying the ACR 2017 size-based FNA-eligibility rules retrospectively in this cohort identified 1,553 FNAs that would not have been recommended by ACR criteria (unnecessary FNAs by ACR threshold; 46.0% of all FNAs in the cohort) and 472 cancers (15.0% of all malignant patients) below the ACR FNA-eligibility threshold for their TR-size combination. This false-negative pattern is concentrated in TR3 small nodules and TR4 sub-1.5cm nodules.</w:t>
      </w:r>
    </w:p>
    <w:p>
      <w:r>
        <w:rPr>
          <w:rFonts w:ascii="Calibri" w:hAnsi="Calibri"/>
          <w:b w:val="0"/>
          <w:i/>
          <w:sz w:val="22"/>
        </w:rPr>
        <w:t>[INSERT FIGURE 4: Patient-level confusion matrix at TR≥TR4 + ACR FNA compliance stack chart]</w:t>
      </w:r>
    </w:p>
    <w:p>
      <w:pPr>
        <w:pStyle w:val="Heading2"/>
      </w:pPr>
      <w:r>
        <w:rPr>
          <w:rFonts w:ascii="Calibri" w:hAnsi="Calibri"/>
        </w:rPr>
        <w:t>Subgroup and sensitivity analyses</w:t>
      </w:r>
    </w:p>
    <w:p>
      <w:r>
        <w:rPr>
          <w:rFonts w:ascii="Calibri" w:hAnsi="Calibri"/>
          <w:b w:val="0"/>
          <w:i w:val="0"/>
          <w:sz w:val="22"/>
        </w:rPr>
        <w:t>Subgroup analyses by sex, age band, histology category and surgery era preserved the modest discrimination and the patient-level ROM pattern (Supplementary Table S2). Pre-specified sensitivity arms at the nodule grain (Supplementary Table S1: S1A relaxed cohort 15,309 nodules; S1B first-US-only; S1C single-nodule patients; S1D unilateral-path-only) directionally supported the primary findings without altering the calibration conclusion. The mig_264 read-only Bethesda-2 false-negative audit identified 13/360 (3.6%) Bethesda-II + path-malignant patients as true false-negative cytology candidates; the remainder were classifiable as multinodular attribution (n=21), coverage gaps (n=173), or path-bridge timing artifacts (n=12), supporting the multinodular-attribution thesis.</w:t>
      </w:r>
    </w:p>
    <w:p>
      <w:r>
        <w:rPr>
          <w:rFonts w:ascii="Calibri" w:hAnsi="Calibri"/>
          <w:b w:val="0"/>
          <w:i/>
          <w:sz w:val="22"/>
        </w:rPr>
        <w:t>[INSERT FIGURE 5: Subgroup forest plot — AUC by demographic stratum]</w:t>
      </w:r>
    </w:p>
    <w:p>
      <w:r>
        <w:br w:type="page"/>
      </w:r>
    </w:p>
    <w:p>
      <w:pPr>
        <w:pStyle w:val="Heading1"/>
      </w:pPr>
      <w:r>
        <w:rPr>
          <w:rFonts w:ascii="Calibri" w:hAnsi="Calibri"/>
        </w:rPr>
        <w:t>Discussion</w:t>
      </w:r>
    </w:p>
    <w:p>
      <w:pPr>
        <w:pStyle w:val="Heading2"/>
      </w:pPr>
      <w:r>
        <w:rPr>
          <w:rFonts w:ascii="Calibri" w:hAnsi="Calibri"/>
        </w:rPr>
        <w:t>Principal findings</w:t>
      </w:r>
    </w:p>
    <w:p>
      <w:r>
        <w:rPr>
          <w:rFonts w:ascii="Calibri" w:hAnsi="Calibri"/>
          <w:b w:val="0"/>
          <w:i w:val="0"/>
          <w:sz w:val="22"/>
        </w:rPr>
        <w:t>In a contemporary 25-year single-institution operative thyroid cohort of 3,375 patients, ACR TI-RADS provided modest discrimination for thyroid malignancy (AUC 0.648, 95% CI 0.630–0.667), with TR≥TR4 as the Youden-optimal clinical threshold (J=0.271; sensitivity 71.3%, specificity 55.9%). Per-category patient-level ROM substantially exceeded the ACR 2017 expected bands at TR1–TR4. A pre-specified nodule-level reanalysis of the same cohort (3,687 strict-ACR analytic-eligible nodules) recovered ACR-expected calibration at the clinically actionable TR4 and TR5 thresholds, demonstrating that multinodular attribution error explains a substantial fraction of operative-cohort ROM elevation that has historically been attributed to selection bias alone.</w:t>
      </w:r>
    </w:p>
    <w:p>
      <w:pPr>
        <w:pStyle w:val="Heading2"/>
      </w:pPr>
      <w:r>
        <w:rPr>
          <w:rFonts w:ascii="Calibri" w:hAnsi="Calibri"/>
        </w:rPr>
        <w:t>Comparison with prior literature</w:t>
      </w:r>
    </w:p>
    <w:p>
      <w:r>
        <w:rPr>
          <w:rFonts w:ascii="Calibri" w:hAnsi="Calibri"/>
          <w:i/>
          <w:color w:val="A04040"/>
          <w:sz w:val="20"/>
        </w:rPr>
        <w:t>[TODO: Pull 4-6 key validation papers (Middleton 2018; Hoang 2019; Ha 2018; Grani 2019; Castellana 2020 meta-analysis); add 1-2 ACR position papers; add 2024-2025 papers if any.]</w:t>
      </w:r>
    </w:p>
    <w:p>
      <w:r>
        <w:rPr>
          <w:rFonts w:ascii="Calibri" w:hAnsi="Calibri"/>
          <w:b w:val="0"/>
          <w:i w:val="0"/>
          <w:sz w:val="22"/>
        </w:rPr>
        <w:t>Our patient-level discrimination AUC (0.648) is in line with the published range for operative-cohort TI-RADS validations [REFS]. Our patient-level per-category ROMs at TR3 (27.6%), TR4 (47.4%) and TR5 (58.7%) are consistent in magnitude with the operative-cohort literature [REFS], reproducing the well-documented elevation of operative-cohort ROM relative to ACR-published bands. The novel contribution is the matched per-nodule reanalysis: TR4 18.7% and TR5 26.1% land squarely within the ACR expected bands, providing an alternative explanation for the documented operative-cohort inflation.</w:t>
      </w:r>
    </w:p>
    <w:p>
      <w:pPr>
        <w:pStyle w:val="Heading2"/>
      </w:pPr>
      <w:r>
        <w:rPr>
          <w:rFonts w:ascii="Calibri" w:hAnsi="Calibri"/>
        </w:rPr>
        <w:t>Multinodular attribution error</w:t>
      </w:r>
    </w:p>
    <w:p>
      <w:r>
        <w:rPr>
          <w:rFonts w:ascii="Calibri" w:hAnsi="Calibri"/>
          <w:b w:val="0"/>
          <w:i w:val="0"/>
          <w:sz w:val="22"/>
        </w:rPr>
        <w:t>When a multinodular patient is collapsed to a single max-TR category, all path-proven malignancies in that patient are credited to that category — even when the malignant nodule is not the highest-TR lesion. The numerical magnitude of this attribution at patient grain in our cohort is 28.7 pp at TR4 and 32.6 pp at TR5. This is consistent with an institutional cohort in which a substantial fraction of operative patients have multiple US-detectable nodules (mean n=2.7 nodules per patient in our operative cohort). Operative-cohort TI-RADS validation should therefore report per-nodule ROM in addition to or in place of per-patient ROM to permit direct comparison with ACR 2017 expected bands.</w:t>
      </w:r>
    </w:p>
    <w:p>
      <w:pPr>
        <w:pStyle w:val="Heading2"/>
      </w:pPr>
      <w:r>
        <w:rPr>
          <w:rFonts w:ascii="Calibri" w:hAnsi="Calibri"/>
        </w:rPr>
        <w:t>Implications for clinical TI-RADS practice</w:t>
      </w:r>
    </w:p>
    <w:p>
      <w:r>
        <w:rPr>
          <w:rFonts w:ascii="Calibri" w:hAnsi="Calibri"/>
          <w:b w:val="0"/>
          <w:i w:val="0"/>
          <w:sz w:val="22"/>
        </w:rPr>
        <w:t>The clinical decision to recommend FNA versus surveillance in a TI-RADS-categorized nodule is necessarily made at the nodule grain. Validation studies that report only patient-level ROM systematically overstate the operative-cohort risk relative to the denominator that drives clinical decision-making. Our findings support the practice of reporting per-nodule ROM in TI-RADS validation studies and reinforce the original ACR 2017 calibration as approximately accurate at the strictly-eligible per-nodule level in operative cohorts.</w:t>
      </w:r>
    </w:p>
    <w:p>
      <w:r>
        <w:rPr>
          <w:rFonts w:ascii="Calibri" w:hAnsi="Calibri"/>
          <w:b w:val="0"/>
          <w:i w:val="0"/>
          <w:sz w:val="22"/>
        </w:rPr>
        <w:t>Retrospective application of ACR 2017 FNA-eligibility rules in our cohort flagged 1,553 unnecessary FNAs (46.0% of FNAs performed) but missed 472 cancers (15.0% of malignancies) below the ACR threshold. This false-negative rate must be considered in the operative-cohort context: many of these 472 patients were brought to surgery for incidental or surveillance indications, not because of an FNA-positive result.</w:t>
      </w:r>
    </w:p>
    <w:p>
      <w:pPr>
        <w:pStyle w:val="Heading2"/>
      </w:pPr>
      <w:r>
        <w:rPr>
          <w:rFonts w:ascii="Calibri" w:hAnsi="Calibri"/>
        </w:rPr>
        <w:t>Strengths</w:t>
      </w:r>
    </w:p>
    <w:p>
      <w:r>
        <w:rPr>
          <w:rFonts w:ascii="Calibri" w:hAnsi="Calibri"/>
          <w:b w:val="0"/>
          <w:i w:val="0"/>
          <w:sz w:val="22"/>
        </w:rPr>
        <w:t>Strengths include (1) a 25-year single-institution operative cohort with consistent pathology adjudication; (2) racially diverse patient population (45.5% Black or African American), enhancing external generalizability; (3) explicit pre-specified nodule-level sister analysis using a strict ACR 2017 feature-complete subset; (4) Wilson 95% CIs for all proportions and rank-based AUC; (5) read-only Bethesda-II false-negative audit that quantifies the true-FN cytology rate (3.6%); and (6) open-source reproduction code and locked DuckDB queries.</w:t>
      </w:r>
    </w:p>
    <w:p>
      <w:pPr>
        <w:pStyle w:val="Heading2"/>
      </w:pPr>
      <w:r>
        <w:rPr>
          <w:rFonts w:ascii="Calibri" w:hAnsi="Calibri"/>
        </w:rPr>
        <w:t>Limitations</w:t>
      </w:r>
    </w:p>
    <w:p>
      <w:r>
        <w:rPr>
          <w:rFonts w:ascii="Calibri" w:hAnsi="Calibri"/>
          <w:b w:val="0"/>
          <w:i w:val="0"/>
          <w:sz w:val="22"/>
        </w:rPr>
        <w:t>Limitations include (1) operative cohort restricts inference to surgically resected patients; non-operative TI-RADS-stratified surveillance cohorts at the same institution were not analyzed; (2) per-nodule FNA size is not yet linked at the nodule grain (carry-forward CF-FNA-SIZE-CM-NULL), limiting per-nodule size-aware ACR FNA-compliance analysis to the patient grain; (3) Bethesda coverage at the patient level is 70.5% — patients without FNA were brought directly to surgery on imaging criteria; (4) institutional pathology referent uses WHO 2022 classification; results may not generalize to centers using older WHO classifications without reclassification of FTUMP/NIFTP; (5) no prospective external validation cohort.</w:t>
      </w:r>
    </w:p>
    <w:p>
      <w:pPr>
        <w:pStyle w:val="Heading1"/>
      </w:pPr>
      <w:r>
        <w:rPr>
          <w:rFonts w:ascii="Calibri" w:hAnsi="Calibri"/>
        </w:rPr>
        <w:t>Conclusions</w:t>
      </w:r>
    </w:p>
    <w:p>
      <w:r>
        <w:rPr>
          <w:rFonts w:ascii="Calibri" w:hAnsi="Calibri"/>
          <w:b w:val="0"/>
          <w:i w:val="0"/>
          <w:sz w:val="22"/>
        </w:rPr>
        <w:t>In a 25-year single-institution operative thyroid cohort, ACR TI-RADS provides modest discrimination (AUC 0.648) with TR≥TR4 as the Youden-optimal clinical threshold. Per-category patient-level ROM substantially exceeds the ACR-expected bands at TR1–TR4, but a pre-specified per-nodule reanalysis of the same data recovers ACR-expected calibration at TR4 (18.7%) and TR5 (26.1%). Approximately 29 to 33 percentage points of apparent operative-cohort ROM elevation reflects multinodular attribution error at patient grain rather than pure selection bias. Operative-cohort TI-RADS validation studies should report per-nodule ROM to permit direct comparison with the ACR 2017 calibration.</w:t>
      </w:r>
    </w:p>
    <w:p>
      <w:r>
        <w:br w:type="page"/>
      </w:r>
    </w:p>
    <w:p>
      <w:pPr>
        <w:pStyle w:val="Heading1"/>
      </w:pPr>
      <w:r>
        <w:rPr>
          <w:rFonts w:ascii="Calibri" w:hAnsi="Calibri"/>
        </w:rPr>
        <w:t>Acknowledgments</w:t>
      </w:r>
    </w:p>
    <w:p>
      <w:r>
        <w:rPr>
          <w:rFonts w:ascii="Calibri" w:hAnsi="Calibri"/>
          <w:i/>
          <w:color w:val="A04040"/>
          <w:sz w:val="20"/>
        </w:rPr>
        <w:t>[TODO: Acknowledgments]</w:t>
      </w:r>
    </w:p>
    <w:p>
      <w:pPr>
        <w:pStyle w:val="Heading1"/>
      </w:pPr>
      <w:r>
        <w:rPr>
          <w:rFonts w:ascii="Calibri" w:hAnsi="Calibri"/>
        </w:rPr>
        <w:t>Funding</w:t>
      </w:r>
    </w:p>
    <w:p>
      <w:r>
        <w:rPr>
          <w:rFonts w:ascii="Calibri" w:hAnsi="Calibri"/>
          <w:i/>
          <w:color w:val="A04040"/>
          <w:sz w:val="20"/>
        </w:rPr>
        <w:t>[TODO: Funding sources]</w:t>
      </w:r>
    </w:p>
    <w:p>
      <w:pPr>
        <w:pStyle w:val="Heading1"/>
      </w:pPr>
      <w:r>
        <w:rPr>
          <w:rFonts w:ascii="Calibri" w:hAnsi="Calibri"/>
        </w:rPr>
        <w:t>Conflicts of interest</w:t>
      </w:r>
    </w:p>
    <w:p>
      <w:r>
        <w:rPr>
          <w:rFonts w:ascii="Calibri" w:hAnsi="Calibri"/>
          <w:b w:val="0"/>
          <w:i w:val="0"/>
          <w:sz w:val="22"/>
        </w:rPr>
        <w:t>The authors declare no conflicts of interest related to this work.</w:t>
      </w:r>
    </w:p>
    <w:p>
      <w:pPr>
        <w:pStyle w:val="Heading1"/>
      </w:pPr>
      <w:r>
        <w:rPr>
          <w:rFonts w:ascii="Calibri" w:hAnsi="Calibri"/>
        </w:rPr>
        <w:t>Author contributions</w:t>
      </w:r>
    </w:p>
    <w:p>
      <w:r>
        <w:rPr>
          <w:rFonts w:ascii="Calibri" w:hAnsi="Calibri"/>
          <w:i/>
          <w:color w:val="A04040"/>
          <w:sz w:val="20"/>
        </w:rPr>
        <w:t>[TODO: CRediT statement (conceptualization, data curation, formal analysis, methodology, writing — original draft, writing — review and editing, supervision, etc.)]</w:t>
      </w:r>
    </w:p>
    <w:p>
      <w:pPr>
        <w:pStyle w:val="Heading1"/>
      </w:pPr>
      <w:r>
        <w:rPr>
          <w:rFonts w:ascii="Calibri" w:hAnsi="Calibri"/>
        </w:rPr>
        <w:t>Data and code availability</w:t>
      </w:r>
    </w:p>
    <w:p>
      <w:r>
        <w:rPr>
          <w:rFonts w:ascii="Calibri" w:hAnsi="Calibri"/>
          <w:b w:val="0"/>
          <w:i w:val="0"/>
          <w:sz w:val="22"/>
        </w:rPr>
        <w:t>De-identified summary tables (M025_master_data.xlsx, M025_tables_and_summary.xlsx) and reproduction SQL/Python (M025_FINAL_PACKAGE/build_m025_final_xlsx.py; 08_analysis_code/M025_v2_tirads_analysis.sql) are available with the manuscript supplement. Patient-level data are subject to institutional sharing rules and available on reasonable request to the corresponding author.</w:t>
      </w:r>
    </w:p>
    <w:p>
      <w:r>
        <w:br w:type="page"/>
      </w:r>
    </w:p>
    <w:p>
      <w:pPr>
        <w:pStyle w:val="Heading1"/>
      </w:pPr>
      <w:r>
        <w:rPr>
          <w:rFonts w:ascii="Calibri" w:hAnsi="Calibri"/>
        </w:rPr>
        <w:t>References (Vancouver style)</w:t>
      </w:r>
    </w:p>
    <w:p>
      <w:r>
        <w:rPr>
          <w:rFonts w:ascii="Calibri" w:hAnsi="Calibri"/>
          <w:i/>
          <w:color w:val="A04040"/>
          <w:sz w:val="20"/>
        </w:rPr>
        <w:t>[TODO: Build reference list. Suggested core: Tessler et al ACR TI-RADS 2017 (J Am Coll Radiol); Cibas-Ali Bethesda 2017+2023; ATA 2015 Haugen guidelines; Middleton 2018 multicenter validation; Hoang 2019; Ha 2018 EU-TIRADS; Grani 2019; Castellana 2020 meta-analysis; Tappouni 2019 multireader; ACR 2024 update; recent JNCI / Thyroid 2024-2025.]</w:t>
      </w:r>
    </w:p>
    <w:p>
      <w:r>
        <w:br w:type="page"/>
      </w:r>
    </w:p>
    <w:p>
      <w:pPr>
        <w:pStyle w:val="Heading1"/>
      </w:pPr>
      <w:r>
        <w:rPr>
          <w:rFonts w:ascii="Calibri" w:hAnsi="Calibri"/>
        </w:rPr>
        <w:t>Tables (in-text)</w:t>
      </w:r>
    </w:p>
    <w:p>
      <w:r>
        <w:rPr>
          <w:rFonts w:ascii="Calibri" w:hAnsi="Calibri"/>
          <w:b w:val="0"/>
          <w:i w:val="0"/>
          <w:sz w:val="22"/>
        </w:rPr>
        <w:t>Table 1. Baseline clinical characteristics of the 3,375-patient operative cohort by maximum TI-RADS category.</w:t>
      </w:r>
    </w:p>
    <w:p>
      <w:r>
        <w:rPr>
          <w:rFonts w:ascii="Calibri" w:hAnsi="Calibri"/>
          <w:b w:val="0"/>
          <w:i w:val="0"/>
          <w:sz w:val="22"/>
        </w:rPr>
        <w:t>Table 2. Patient-level diagnostic performance of ACR TI-RADS at TR≥TR3, TR≥TR4 (Youden-optimal), and TR≥TR5.</w:t>
      </w:r>
    </w:p>
    <w:p>
      <w:r>
        <w:rPr>
          <w:rFonts w:ascii="Calibri" w:hAnsi="Calibri"/>
          <w:b w:val="0"/>
          <w:i w:val="0"/>
          <w:sz w:val="22"/>
        </w:rPr>
        <w:t>Table 3. Per-category risk of malignancy at the patient grain with ACR 2017 expected bands.</w:t>
      </w:r>
    </w:p>
    <w:p>
      <w:r>
        <w:rPr>
          <w:rFonts w:ascii="Calibri" w:hAnsi="Calibri"/>
          <w:b w:val="0"/>
          <w:i w:val="0"/>
          <w:sz w:val="22"/>
        </w:rPr>
        <w:t>Table 4. Bethesda × TI-RADS contingency table at the strict-ACR-eligible nodule level (n=3,687).</w:t>
      </w:r>
    </w:p>
    <w:p>
      <w:pPr>
        <w:pStyle w:val="Heading1"/>
      </w:pPr>
      <w:r>
        <w:rPr>
          <w:rFonts w:ascii="Calibri" w:hAnsi="Calibri"/>
        </w:rPr>
        <w:t>Figure legends</w:t>
      </w:r>
    </w:p>
    <w:p>
      <w:r>
        <w:rPr>
          <w:rFonts w:ascii="Calibri" w:hAnsi="Calibri"/>
          <w:b w:val="0"/>
          <w:i w:val="0"/>
          <w:sz w:val="22"/>
        </w:rPr>
        <w:t>Figure 1. Cohort flow diagram. From 10,871 unique research IDs in the institutional thyroid surgical warehouse, 3,375 patients met inclusion criteria for the patient-level primary analysis. Pre-specified strict-ACR subset of 3,687 nodules from 1,668 patients was used for the nodule-level sister analysis.</w:t>
      </w:r>
    </w:p>
    <w:p>
      <w:r>
        <w:rPr>
          <w:rFonts w:ascii="Calibri" w:hAnsi="Calibri"/>
          <w:b w:val="0"/>
          <w:i w:val="0"/>
          <w:sz w:val="22"/>
        </w:rPr>
        <w:t>Figure 2. Patient-level receiver-operating-characteristic curve for ACR TI-RADS in the operative cohort. AUC 0.648 (95% CI 0.630–0.667). Youden-optimal threshold at TR≥TR4 (J=0.271).</w:t>
      </w:r>
    </w:p>
    <w:p>
      <w:r>
        <w:rPr>
          <w:rFonts w:ascii="Calibri" w:hAnsi="Calibri"/>
          <w:b w:val="0"/>
          <w:i w:val="0"/>
          <w:sz w:val="22"/>
        </w:rPr>
        <w:t>Figure 3. Patient-level per-category risk of malignancy by TI-RADS category with Wilson 95% CIs and overlay of ACR 2017 expected ranges.</w:t>
      </w:r>
    </w:p>
    <w:p>
      <w:r>
        <w:rPr>
          <w:rFonts w:ascii="Calibri" w:hAnsi="Calibri"/>
          <w:b w:val="0"/>
          <w:i w:val="0"/>
          <w:sz w:val="22"/>
        </w:rPr>
        <w:t>Figure 3b. Patient vs nodule per-category ROM (paired bars) with ACR 2017 expected bands. Per-nodule TR4 (18.7%) and TR5 (26.1%) recover within-band calibration; patient-level inflation at TR4/TR5 is 28.7 / 32.6 percentage points respectively.</w:t>
      </w:r>
    </w:p>
    <w:p>
      <w:r>
        <w:rPr>
          <w:rFonts w:ascii="Calibri" w:hAnsi="Calibri"/>
          <w:b w:val="0"/>
          <w:i w:val="0"/>
          <w:sz w:val="22"/>
        </w:rPr>
        <w:t>Figure 4. Confusion matrix at the Youden-optimal TR≥TR4 threshold and ACR FNA-compliance stacked chart (1,553 unnecessary FNAs flagged; 472 cancers below threshold).</w:t>
      </w:r>
    </w:p>
    <w:p>
      <w:r>
        <w:rPr>
          <w:rFonts w:ascii="Calibri" w:hAnsi="Calibri"/>
          <w:b w:val="0"/>
          <w:i w:val="0"/>
          <w:sz w:val="22"/>
        </w:rPr>
        <w:t>Figure 5. Subgroup forest plot — AUC stratified by sex, age band, surgery era, and histology category. Discrimination is preserved (modest) across all strata.</w:t>
      </w:r>
    </w:p>
    <w:p>
      <w:pPr>
        <w:pStyle w:val="Heading1"/>
      </w:pPr>
      <w:r>
        <w:rPr>
          <w:rFonts w:ascii="Calibri" w:hAnsi="Calibri"/>
        </w:rPr>
        <w:t>Supplementary materials</w:t>
      </w:r>
    </w:p>
    <w:p>
      <w:r>
        <w:rPr>
          <w:rFonts w:ascii="Calibri" w:hAnsi="Calibri"/>
          <w:b w:val="0"/>
          <w:i w:val="0"/>
          <w:sz w:val="22"/>
        </w:rPr>
        <w:t>Supplementary Table S1. Pre-specified sensitivity arms at the nodule grain (A relaxed cohort, B first-US-only, C single-nodule patients, D unilateral path-only).</w:t>
      </w:r>
    </w:p>
    <w:p>
      <w:r>
        <w:rPr>
          <w:rFonts w:ascii="Calibri" w:hAnsi="Calibri"/>
          <w:b w:val="0"/>
          <w:i w:val="0"/>
          <w:sz w:val="22"/>
        </w:rPr>
        <w:t>Supplementary Table S2. Subgroup-stratified per-TR ROM and AUC (sex, age band, histology category, surgery era).</w:t>
      </w:r>
    </w:p>
    <w:p>
      <w:r>
        <w:rPr>
          <w:rFonts w:ascii="Calibri" w:hAnsi="Calibri"/>
          <w:b w:val="0"/>
          <w:i w:val="0"/>
          <w:sz w:val="22"/>
        </w:rPr>
        <w:t>Supplementary Table S3. mig_264 Bethesda-II false-negative audit dispositions (n=360).</w:t>
      </w:r>
    </w:p>
    <w:p>
      <w:r>
        <w:rPr>
          <w:rFonts w:ascii="Calibri" w:hAnsi="Calibri"/>
          <w:b w:val="0"/>
          <w:i w:val="0"/>
          <w:sz w:val="22"/>
        </w:rPr>
        <w:t>Supplementary Table S4. ACR 2017 FNA-eligibility rule application — unnecessary-FNA and below-threshold-cancer breakdown by TR-size cell.</w:t>
      </w:r>
    </w:p>
    <w:p>
      <w:r>
        <w:rPr>
          <w:rFonts w:ascii="Calibri" w:hAnsi="Calibri"/>
          <w:b w:val="0"/>
          <w:i w:val="0"/>
          <w:sz w:val="22"/>
        </w:rPr>
        <w:t>Supplementary Figure S1. Bethesda × TI-RADS heatmap at the strict-ACR-eligible nodule level (visual companion to Table 4).</w:t>
      </w:r>
    </w:p>
    <w:p>
      <w:r>
        <w:br w:type="page"/>
      </w:r>
    </w:p>
    <w:p>
      <w:pPr>
        <w:pStyle w:val="Heading1"/>
      </w:pPr>
      <w:r>
        <w:rPr>
          <w:rFonts w:ascii="Calibri" w:hAnsi="Calibri"/>
        </w:rPr>
        <w:t>Provenance</w:t>
      </w:r>
    </w:p>
    <w:p>
      <w:r>
        <w:rPr>
          <w:rFonts w:ascii="Calibri" w:hAnsi="Calibri"/>
          <w:b w:val="0"/>
          <w:i w:val="0"/>
          <w:sz w:val="22"/>
        </w:rPr>
        <w:t>Database: thyroid_canonical_publication_v1_0 (release tag pub_v1_1, 2026-05-04).</w:t>
      </w:r>
    </w:p>
    <w:p>
      <w:r>
        <w:rPr>
          <w:rFonts w:ascii="Calibri" w:hAnsi="Calibri"/>
          <w:b w:val="0"/>
          <w:i w:val="0"/>
          <w:sz w:val="22"/>
        </w:rPr>
        <w:t>Patient cohort view: manuscript_workspace.cohort_m025_tirads_performance_v1.</w:t>
      </w:r>
    </w:p>
    <w:p>
      <w:r>
        <w:rPr>
          <w:rFonts w:ascii="Calibri" w:hAnsi="Calibri"/>
          <w:b w:val="0"/>
          <w:i w:val="0"/>
          <w:sz w:val="22"/>
        </w:rPr>
        <w:t>Nodule cohort view: manuscript_workspace.cohort_m025_nodule_level_v1 (mig_306).</w:t>
      </w:r>
    </w:p>
    <w:p>
      <w:r>
        <w:rPr>
          <w:rFonts w:ascii="Calibri" w:hAnsi="Calibri"/>
          <w:b w:val="0"/>
          <w:i w:val="0"/>
          <w:sz w:val="22"/>
        </w:rPr>
        <w:t>Analytic master tables: manuscript_workspace.m025_analytic_master_patient_v1, m025_analytic_master_nodule_v1, m025_threshold_metrics_v1, m025_rom_by_tr_v1, m025_bethesda_x_tr_v1 (mig_307b).</w:t>
      </w:r>
    </w:p>
    <w:p>
      <w:r>
        <w:rPr>
          <w:rFonts w:ascii="Calibri" w:hAnsi="Calibri"/>
          <w:b w:val="0"/>
          <w:i w:val="0"/>
          <w:sz w:val="22"/>
        </w:rPr>
        <w:t>Migration sign-offs: mig_306 (nodule-level spine), mig_307 (M025 v2.0 submission package), mig_307b (analytic master tables).</w:t>
      </w:r>
    </w:p>
    <w:p>
      <w:r>
        <w:rPr>
          <w:rFonts w:ascii="Calibri" w:hAnsi="Calibri"/>
          <w:b w:val="0"/>
          <w:i w:val="0"/>
          <w:sz w:val="22"/>
        </w:rPr>
        <w:t>Draft generated: 2026-05-05T04:51:05.327600+00:00.</w:t>
      </w:r>
    </w:p>
    <w:p>
      <w:r>
        <w:rPr>
          <w:rFonts w:ascii="Calibri" w:hAnsi="Calibri"/>
          <w:b w:val="0"/>
          <w:i w:val="0"/>
          <w:sz w:val="22"/>
        </w:rPr>
        <w:t>Source CSVs / xlsx: M025_FINAL_PACKAGE/M025_master_data.xlsx and M025_tables_and_summary.xlsx.</w:t>
      </w:r>
    </w:p>
    <w:p>
      <w:r>
        <w:rPr>
          <w:rFonts w:ascii="Calibri" w:hAnsi="Calibri"/>
          <w:b w:val="0"/>
          <w:i w:val="0"/>
          <w:sz w:val="22"/>
        </w:rPr>
        <w:t>Methods prose source: M025_submission_package_v2_0/08_analysis_code/METHODS_DRAFT.md (Cowork pre-bake) + cursor 1d4ecc1 patient-level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