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Gross, but Not Microscopic, Extrathyroidal Extension Is Associated with Path-Proven Recurrence in Differentiated Thyroid Cancer: A Strict-Cohort Retrospective Study</w:t>
      </w:r>
    </w:p>
    <w:p>
      <w:r>
        <w:rPr>
          <w:rFonts w:ascii="Times New Roman" w:hAnsi="Times New Roman"/>
          <w:b w:val="0"/>
          <w:i w:val="0"/>
          <w:sz w:val="24"/>
        </w:rPr>
      </w:r>
    </w:p>
    <w:p>
      <w:r>
        <w:rPr>
          <w:rFonts w:ascii="Times New Roman" w:hAnsi="Times New Roman"/>
          <w:b w:val="0"/>
          <w:i w:val="0"/>
          <w:sz w:val="24"/>
        </w:rPr>
      </w:r>
    </w:p>
    <w:p>
      <w:r>
        <w:rPr>
          <w:rFonts w:ascii="Times New Roman" w:hAnsi="Times New Roman"/>
          <w:b w:val="0"/>
          <w:i w:val="0"/>
          <w:sz w:val="24"/>
        </w:rPr>
        <w:t>Running title: Gross vs Microscopic ETE in DTC</w:t>
      </w:r>
    </w:p>
    <w:p>
      <w:r>
        <w:rPr>
          <w:rFonts w:ascii="Times New Roman" w:hAnsi="Times New Roman"/>
          <w:b w:val="0"/>
          <w:i w:val="0"/>
          <w:sz w:val="24"/>
        </w:rPr>
        <w:t>Article type: Original Article</w:t>
      </w:r>
    </w:p>
    <w:p>
      <w:r>
        <w:rPr>
          <w:rFonts w:ascii="Times New Roman" w:hAnsi="Times New Roman"/>
          <w:b w:val="0"/>
          <w:i w:val="0"/>
          <w:sz w:val="24"/>
        </w:rPr>
      </w:r>
    </w:p>
    <w:p>
      <w:r>
        <w:rPr>
          <w:rFonts w:ascii="Times New Roman" w:hAnsi="Times New Roman"/>
          <w:b/>
          <w:i w:val="0"/>
          <w:sz w:val="24"/>
        </w:rPr>
        <w:t>Authors</w:t>
      </w:r>
    </w:p>
    <w:p>
      <w:r>
        <w:rPr>
          <w:rFonts w:ascii="Times New Roman" w:hAnsi="Times New Roman"/>
          <w:b w:val="0"/>
          <w:i w:val="0"/>
          <w:sz w:val="24"/>
        </w:rPr>
        <w:t>[Author 1, MD/PhD]; [Author 2, MD]; [Author 3, PhD]; [Senior Author, MD]</w:t>
      </w:r>
    </w:p>
    <w:p>
      <w:r>
        <w:rPr>
          <w:rFonts w:ascii="Times New Roman" w:hAnsi="Times New Roman"/>
          <w:b w:val="0"/>
          <w:i w:val="0"/>
          <w:sz w:val="24"/>
        </w:rPr>
      </w:r>
    </w:p>
    <w:p>
      <w:r>
        <w:rPr>
          <w:rFonts w:ascii="Times New Roman" w:hAnsi="Times New Roman"/>
          <w:b/>
          <w:i w:val="0"/>
          <w:sz w:val="24"/>
        </w:rPr>
        <w:t>Affiliations</w:t>
      </w:r>
    </w:p>
    <w:p>
      <w:r>
        <w:rPr>
          <w:rFonts w:ascii="Times New Roman" w:hAnsi="Times New Roman"/>
          <w:b w:val="0"/>
          <w:i w:val="0"/>
          <w:sz w:val="24"/>
        </w:rPr>
        <w:t>[Department, Institution, City, State/Country, Postal code]</w:t>
      </w:r>
    </w:p>
    <w:p>
      <w:r>
        <w:rPr>
          <w:rFonts w:ascii="Times New Roman" w:hAnsi="Times New Roman"/>
          <w:b w:val="0"/>
          <w:i w:val="0"/>
          <w:sz w:val="24"/>
        </w:rPr>
      </w:r>
    </w:p>
    <w:p>
      <w:r>
        <w:rPr>
          <w:rFonts w:ascii="Times New Roman" w:hAnsi="Times New Roman"/>
          <w:b/>
          <w:i w:val="0"/>
          <w:sz w:val="24"/>
        </w:rPr>
        <w:t>Corresponding author</w:t>
      </w:r>
    </w:p>
    <w:p>
      <w:r>
        <w:rPr>
          <w:rFonts w:ascii="Times New Roman" w:hAnsi="Times New Roman"/>
          <w:b w:val="0"/>
          <w:i w:val="0"/>
          <w:sz w:val="24"/>
        </w:rPr>
        <w:t>[Senior Author, MD]</w:t>
      </w:r>
    </w:p>
    <w:p>
      <w:r>
        <w:rPr>
          <w:rFonts w:ascii="Times New Roman" w:hAnsi="Times New Roman"/>
          <w:b w:val="0"/>
          <w:i w:val="0"/>
          <w:sz w:val="24"/>
        </w:rPr>
        <w:t>[Mailing address]</w:t>
      </w:r>
    </w:p>
    <w:p>
      <w:r>
        <w:rPr>
          <w:rFonts w:ascii="Times New Roman" w:hAnsi="Times New Roman"/>
          <w:b w:val="0"/>
          <w:i w:val="0"/>
          <w:sz w:val="24"/>
        </w:rPr>
        <w:t>Email: [author@institution.edu] | Telephone: [+1 ###-###-####] | ORCID: [0000-0000-0000-0000]</w:t>
      </w:r>
    </w:p>
    <w:p>
      <w:r>
        <w:rPr>
          <w:rFonts w:ascii="Times New Roman" w:hAnsi="Times New Roman"/>
          <w:b w:val="0"/>
          <w:i w:val="0"/>
          <w:sz w:val="24"/>
        </w:rPr>
      </w:r>
    </w:p>
    <w:p>
      <w:r>
        <w:rPr>
          <w:rFonts w:ascii="Times New Roman" w:hAnsi="Times New Roman"/>
          <w:b w:val="0"/>
          <w:i w:val="0"/>
          <w:sz w:val="24"/>
        </w:rPr>
        <w:t>Word count: Abstract 248 | Body (Introduction–Conclusion) ~3,650 | Tables: 4 | Figures: 3 | References: 12</w:t>
      </w:r>
    </w:p>
    <w:p>
      <w:r>
        <w:rPr>
          <w:rFonts w:ascii="Times New Roman" w:hAnsi="Times New Roman"/>
          <w:b w:val="0"/>
          <w:i w:val="0"/>
          <w:sz w:val="24"/>
        </w:rPr>
      </w:r>
    </w:p>
    <w:p>
      <w:r>
        <w:rPr>
          <w:rFonts w:ascii="Times New Roman" w:hAnsi="Times New Roman"/>
          <w:b/>
          <w:i w:val="0"/>
          <w:sz w:val="24"/>
        </w:rPr>
        <w:t>Keywords</w:t>
      </w:r>
    </w:p>
    <w:p>
      <w:r>
        <w:rPr>
          <w:rFonts w:ascii="Times New Roman" w:hAnsi="Times New Roman"/>
          <w:b w:val="0"/>
          <w:i w:val="0"/>
          <w:sz w:val="24"/>
        </w:rPr>
        <w:t>differentiated thyroid cancer; extrathyroidal extension; microscopic extrathyroidal extension; AJCC eighth edition; recurrence; lymphovascular invasion; computed tomography; pathology</w:t>
      </w:r>
    </w:p>
    <w:p>
      <w:r>
        <w:br w:type="page"/>
      </w:r>
    </w:p>
    <w:p/>
    <w:p>
      <w:pPr>
        <w:pStyle w:val="Heading1"/>
      </w:pPr>
      <w:r>
        <w:rPr>
          <w:rFonts w:ascii="Times New Roman" w:hAnsi="Times New Roman"/>
          <w:color w:val="000000"/>
        </w:rPr>
        <w:t>Abstract</w:t>
      </w:r>
    </w:p>
    <w:p>
      <w:r>
        <w:rPr>
          <w:rFonts w:ascii="Times New Roman" w:hAnsi="Times New Roman"/>
          <w:b/>
          <w:sz w:val="24"/>
        </w:rPr>
        <w:t xml:space="preserve">Background. </w:t>
      </w:r>
      <w:r>
        <w:rPr>
          <w:rFonts w:ascii="Times New Roman" w:hAnsi="Times New Roman"/>
          <w:sz w:val="24"/>
        </w:rPr>
        <w:t>The American Joint Committee on Cancer (AJCC) eighth edition removed microscopic extrathyroidal extension (ETE) from T3 upstaging while retaining gross ETE as an adverse anatomic feature. Whether gross ETE confers higher recurrence risk than microscopic ETE in surgical cohorts remains debated.</w:t>
      </w:r>
    </w:p>
    <w:p>
      <w:r>
        <w:rPr>
          <w:rFonts w:ascii="Times New Roman" w:hAnsi="Times New Roman"/>
          <w:b/>
          <w:sz w:val="24"/>
        </w:rPr>
        <w:t xml:space="preserve">Methods. </w:t>
      </w:r>
      <w:r>
        <w:rPr>
          <w:rFonts w:ascii="Times New Roman" w:hAnsi="Times New Roman"/>
          <w:sz w:val="24"/>
        </w:rPr>
        <w:t>We performed a single-institution retrospective cohort study of a locked, strict differentiated thyroid cancer (DTC) cohort. ETE was classified as no/negative, microscopic, or gross from pathology-derived fields. The primary endpoint was path-proven structural recurrence. Multivariable logistic regression used microscopic ETE as the reference and adjusted for age, sex, log-transformed tumor size, AJCC eighth-edition N stage, five-level histology, and separate five-level lymphatic and vascular invasion categories. Prespecified sensitivity models added radioactive iodine (RAI) and BRAF/TERT status; exploratory models added lymph-node topography, restricted the cohort to papillary thyroid carcinoma (PTC), substituted a composite lymphovascular-invasion (LVI) flag, and excluded patients with zero recorded follow-up.</w:t>
      </w:r>
    </w:p>
    <w:p>
      <w:r>
        <w:rPr>
          <w:rFonts w:ascii="Times New Roman" w:hAnsi="Times New Roman"/>
          <w:b/>
          <w:sz w:val="24"/>
        </w:rPr>
        <w:t xml:space="preserve">Results. </w:t>
      </w:r>
      <w:r>
        <w:rPr>
          <w:rFonts w:ascii="Times New Roman" w:hAnsi="Times New Roman"/>
          <w:sz w:val="24"/>
        </w:rPr>
        <w:t xml:space="preserve">The cohort included 3,578 patients (no/negative ETE, n = 68; microscopic ETE, n = 2,359; gross ETE, n = 1,151), with 105 path-proven recurrences. Crude path-proven recurrence rates were 4.4 %, 1.9 %, and 5.0 %, respectively. In the primary model (N = 3,572; 105 events), gross ETE was associated with higher recurrence odds than microscopic ETE (adjusted odds ratio [aOR], 1.77; 95 % confidence interval [CI], 1.15–2.71; </w:t>
      </w:r>
      <w:r>
        <w:rPr>
          <w:rFonts w:ascii="Times New Roman" w:hAnsi="Times New Roman"/>
          <w:i/>
          <w:sz w:val="24"/>
        </w:rPr>
        <w:t>p</w:t>
      </w:r>
      <w:r>
        <w:rPr>
          <w:rFonts w:ascii="Times New Roman" w:hAnsi="Times New Roman"/>
          <w:sz w:val="24"/>
        </w:rPr>
        <w:t xml:space="preserve"> = 0.009). The gross-vs-microscopic association was directionally consistent across crude (OR 2.68), BRAF/TERT-adjusted (1.78), lymph-node-topography (1.99), PTC-only (1.97), composite-LVI (2.04), and zero-follow-up–excluded (1.79) specifications, but attenuated when RAI was added (1.40), consistent with confounding by indication. The no/negative-vs-microscopic contrast was imprecise (aOR 2.72; 95 % CI, 0.80–9.30) and confounded by follow-up, repeat surgery, margin, RAI, and referral-pattern differences.</w:t>
      </w:r>
    </w:p>
    <w:p>
      <w:r>
        <w:rPr>
          <w:rFonts w:ascii="Times New Roman" w:hAnsi="Times New Roman"/>
          <w:b/>
          <w:sz w:val="24"/>
        </w:rPr>
        <w:t xml:space="preserve">Conclusions. </w:t>
      </w:r>
      <w:r>
        <w:rPr>
          <w:rFonts w:ascii="Times New Roman" w:hAnsi="Times New Roman"/>
          <w:sz w:val="24"/>
        </w:rPr>
        <w:t>Gross, but not microscopic, ETE showed a reproducible adjusted association with path-proven recurrence, supporting the AJCC eighth-edition separation of microscopic from gross ETE while preserving microscopic ETE as a contextual feature in individualized recurrence-risk assessment.</w:t>
      </w:r>
    </w:p>
    <w:p>
      <w:r>
        <w:br w:type="page"/>
      </w:r>
    </w:p>
    <w:p/>
    <w:p>
      <w:pPr>
        <w:pStyle w:val="Heading1"/>
      </w:pPr>
      <w:r>
        <w:rPr>
          <w:rFonts w:ascii="Times New Roman" w:hAnsi="Times New Roman"/>
          <w:color w:val="000000"/>
        </w:rPr>
        <w:t>Introduction</w:t>
      </w:r>
    </w:p>
    <w:p>
      <w:r>
        <w:rPr>
          <w:rFonts w:ascii="Times New Roman" w:hAnsi="Times New Roman"/>
          <w:b w:val="0"/>
          <w:i w:val="0"/>
          <w:sz w:val="24"/>
        </w:rPr>
        <w:t>Extrathyroidal extension (ETE) has long served as a marker of anatomic extent and biologic aggressiveness in differentiated thyroid cancer (DTC). The eighth edition of the American Joint Committee on Cancer (AJCC) staging system made a major conceptual change by removing microscopic ETE from T3 upstaging while retaining gross ETE as a staging-relevant adverse feature, including separate recognition of gross strap-muscle invasion (T3b) and more extensive invasion into aerodigestive, neural, or vascular structures (T4a/T4b).¹,² This revision aligned AJCC staging with its principal purpose — prediction of disease-specific mortality — and reflected growing evidence that microscopic ETE is not biologically or prognostically equivalent to gross invasion.</w:t>
      </w:r>
    </w:p>
    <w:p>
      <w:r>
        <w:rPr>
          <w:rFonts w:ascii="Times New Roman" w:hAnsi="Times New Roman"/>
          <w:b w:val="0"/>
          <w:i w:val="0"/>
          <w:sz w:val="24"/>
        </w:rPr>
        <w:t>The recurrence implications of microscopic ETE remain less settled. Some studies have linked microscopic ETE to nodal metastasis, lymphovascular invasion (LVI), positive margins, and recurrence, whereas others suggest microscopic ETE is not independently prognostic after adjustment for tumor size, nodal disease, histology, and other adverse features.⁴⁻⁸ These discrepancies likely reflect heterogeneity in pathology definitions, analytic reference groups, treatment selection, follow-up intensity, endpoint adjudication, and cohort composition.</w:t>
      </w:r>
    </w:p>
    <w:p>
      <w:r>
        <w:rPr>
          <w:rFonts w:ascii="Times New Roman" w:hAnsi="Times New Roman"/>
          <w:b w:val="0"/>
          <w:i w:val="0"/>
          <w:sz w:val="24"/>
        </w:rPr>
        <w:t>Pathology remains the reference standard for microscopic ETE, whereas preoperative imaging is more clinically useful for suspected gross invasion. Cross-sectional imaging can inform surgical planning when gross extension is present, but negative imaging cannot exclude minimal perithyroidal soft-tissue involvement. This distinction matters clinically, because staging, operative planning, adjuvant therapy, and surveillance decisions require integration of pathologic ETE grade with nodal burden, tumor size, LVI, histology, margin status, molecular markers when available, postoperative thyroglobulin, and dynamic response to therapy.³,⁹</w:t>
      </w:r>
    </w:p>
    <w:p>
      <w:r>
        <w:rPr>
          <w:rFonts w:ascii="Times New Roman" w:hAnsi="Times New Roman"/>
          <w:b w:val="0"/>
          <w:i w:val="0"/>
          <w:sz w:val="24"/>
        </w:rPr>
        <w:t>We evaluated a locked, strict-DTC surgical cohort to test whether gross ETE confers higher recurrence risk than microscopic ETE after adjustment for key clinicopathologic covariates. We additionally and explicitly audited the small no/negative ETE subgroup, because in a retrospective academic surgical cohort this group was not expected to function as a clean biologic comparator. To our knowledge, this is the largest single-institution strict-DTC surgical cohort analysis to focus specifically on path-proven recurrence with an explicit no/negative ETE audit and a prespecified gross-vs-microscopic ETE contrast.</w:t>
      </w:r>
    </w:p>
    <w:p>
      <w:r>
        <w:br w:type="page"/>
      </w:r>
    </w:p>
    <w:p/>
    <w:p>
      <w:pPr>
        <w:pStyle w:val="Heading1"/>
      </w:pPr>
      <w:r>
        <w:rPr>
          <w:rFonts w:ascii="Times New Roman" w:hAnsi="Times New Roman"/>
          <w:color w:val="000000"/>
        </w:rPr>
        <w:t>Materials and Methods</w:t>
      </w:r>
    </w:p>
    <w:p/>
    <w:p>
      <w:pPr>
        <w:pStyle w:val="Heading2"/>
      </w:pPr>
      <w:r>
        <w:rPr>
          <w:rFonts w:ascii="Times New Roman" w:hAnsi="Times New Roman"/>
          <w:color w:val="000000"/>
        </w:rPr>
        <w:t>Study design and cohort</w:t>
      </w:r>
    </w:p>
    <w:p>
      <w:r>
        <w:rPr>
          <w:rFonts w:ascii="Times New Roman" w:hAnsi="Times New Roman"/>
          <w:b w:val="0"/>
          <w:i w:val="0"/>
          <w:sz w:val="24"/>
        </w:rPr>
        <w:t>We performed a single-institution retrospective cohort study using the institutional thyroid cancer publication database, specifically manuscript_workspace.cohort_m044_ajcc_ete_v1. The parent M044 cohort included 4,128 patients. Strict DTC was defined a priori; cases were excluded for non-DTC histology (medullary thyroid carcinoma, anaplastic carcinoma, follicular tumor of uncertain malignant potential [FTUMP], non-invasive follicular thyroid neoplasm with papillary-like nuclear features [NIFTP], follicular adenoma and atypical follicular/Hurthle-cell neoplasms, NUT carcinoma, adenoid cystic carcinoma, thymic-like carcinoma, and high-grade carcinoma with focal squamous features), metastatic-only or recurrent-only presentations, and ETE grade missing, ungraded, or unclassifiable into the three primary groups. After 550 sequential exclusions, the locked analytic cohort comprised 3,578 patients. The cohort lock was dated 2026-05-04. Cohort assembly is shown in Figure 1.</w:t>
      </w:r>
    </w:p>
    <w:p>
      <w:r>
        <w:rPr>
          <w:rFonts w:ascii="Times New Roman" w:hAnsi="Times New Roman"/>
          <w:b w:val="0"/>
          <w:i w:val="0"/>
          <w:sz w:val="24"/>
        </w:rPr>
        <w:t>Institutional review board status, waiver of informed consent, and data-use approvals are stated in the Declarations: [Insert IRB approval number and waiver-of-informed-consent language].</w:t>
      </w:r>
    </w:p>
    <w:p/>
    <w:p>
      <w:pPr>
        <w:pStyle w:val="Heading2"/>
      </w:pPr>
      <w:r>
        <w:rPr>
          <w:rFonts w:ascii="Times New Roman" w:hAnsi="Times New Roman"/>
          <w:color w:val="000000"/>
        </w:rPr>
        <w:t>Exposure and endpoints</w:t>
      </w:r>
    </w:p>
    <w:p>
      <w:r>
        <w:rPr>
          <w:rFonts w:ascii="Times New Roman" w:hAnsi="Times New Roman"/>
          <w:b w:val="0"/>
          <w:i w:val="0"/>
          <w:sz w:val="24"/>
        </w:rPr>
        <w:t>The primary exposure was the pathology-derived ETE group: no/negative ETE, microscopic ETE, or gross ETE. Microscopic ETE served as the reference category in all regression models because the principal clinical question was whether gross ETE carried higher recurrence risk than microscopic ETE under the AJCC eighth-edition framework.</w:t>
      </w:r>
    </w:p>
    <w:p>
      <w:r>
        <w:rPr>
          <w:rFonts w:ascii="Times New Roman" w:hAnsi="Times New Roman"/>
          <w:b w:val="0"/>
          <w:i w:val="0"/>
          <w:sz w:val="24"/>
        </w:rPr>
        <w:t>The prespecified primary endpoint was path-proven structural recurrence, defined by biopsy, cytology, or operative pathology confirmation (recurrence_path_proven, n = 105). Imaging-only unconfirmed recurrence (n = 136) and a composite endpoint of path-proven or imaging-only recurrence (n = 241) were prespecified secondary/descriptive endpoints. Two legacy any-recurrence flags inconsistent with the canonical resolved-recurrence schema were retained for audit-only transparency and were not used as primary or secondary endpoints.</w:t>
      </w:r>
    </w:p>
    <w:p/>
    <w:p>
      <w:pPr>
        <w:pStyle w:val="Heading2"/>
      </w:pPr>
      <w:r>
        <w:rPr>
          <w:rFonts w:ascii="Times New Roman" w:hAnsi="Times New Roman"/>
          <w:color w:val="000000"/>
        </w:rPr>
        <w:t>Covariates</w:t>
      </w:r>
    </w:p>
    <w:p>
      <w:r>
        <w:rPr>
          <w:rFonts w:ascii="Times New Roman" w:hAnsi="Times New Roman"/>
          <w:b w:val="0"/>
          <w:i w:val="0"/>
          <w:sz w:val="24"/>
        </w:rPr>
        <w:t>The primary multivariable model adjusted for age at surgery (per 10 years), sex (male reference), ln(1 + tumor size in cm), AJCC eighth-edition N stage (N0 reference; N1a, N1b, Nx), five-level histology (PTC reference; FTC, poorly-differentiated DTC, high-grade DTC; metastatic-PTC dummy structurally zero in cohort and dropped), five-level lymphatic invasion (missing reference; present, extensive, focal, indeterminate), and five-level vascular invasion (missing reference; present-ungraded, extensive, focal, indeterminate). Lymphatic and vascular invasion were modeled separately, with explicit missing and indeterminate categories, rather than as a single composite LVI flag. RAI receipt was excluded from the primary model because it is strongly confounded by indication and may absorb the disease-severity gradient under study; RAI, BRAF V600E, and TERT promoter status were added in prespecified sensitivity models.</w:t>
      </w:r>
    </w:p>
    <w:p/>
    <w:p>
      <w:pPr>
        <w:pStyle w:val="Heading2"/>
      </w:pPr>
      <w:r>
        <w:rPr>
          <w:rFonts w:ascii="Times New Roman" w:hAnsi="Times New Roman"/>
          <w:color w:val="000000"/>
        </w:rPr>
        <w:t>Statistical analysis</w:t>
      </w:r>
    </w:p>
    <w:p>
      <w:r>
        <w:rPr>
          <w:rFonts w:ascii="Times New Roman" w:hAnsi="Times New Roman"/>
          <w:b w:val="0"/>
          <w:i w:val="0"/>
          <w:sz w:val="24"/>
        </w:rPr>
        <w:t>Baseline characteristics were summarized as median with interquartile range (IQR) or n (%). Continuous variables were compared across the three ETE groups using the Kruskal–Wallis test (chosen over one-way ANOVA because of non-Gaussian distributions of tumor size, follow-up, AGES score, and lymph-node counts). Categorical variables were compared using the chi-square test on the 3 × k contingency table.</w:t>
      </w:r>
    </w:p>
    <w:p>
      <w:r>
        <w:rPr>
          <w:rFonts w:ascii="Times New Roman" w:hAnsi="Times New Roman"/>
          <w:b w:val="0"/>
          <w:i w:val="0"/>
          <w:sz w:val="24"/>
        </w:rPr>
        <w:t>The primary analysis used multivariable logistic regression for the binary outcome of observed path-proven recurrence. Binary logistic regression was chosen a priori because follow-up was short and irregular, with 1,187 patients (33.2 %) having zero recorded follow-up years; under this distribution, time-to-event models would risk estimating surveillance intensity and documentation opportunity rather than recurrence hazards. Odds ratios (ORs), 95 % confidence intervals (CIs), and two-sided p values are reported. Categorical covariates retained explicit missing and indeterminate categories. The primary model used a complete-case frame (six patients with missing tumor size were dropped). Quasi-separated dummies — strata constant across the analytic frame or with no events — were detected automatically and either dropped or flagged as not estimable. Two-sided α = 0.05.</w:t>
      </w:r>
    </w:p>
    <w:p/>
    <w:p>
      <w:pPr>
        <w:pStyle w:val="Heading2"/>
      </w:pPr>
      <w:r>
        <w:rPr>
          <w:rFonts w:ascii="Times New Roman" w:hAnsi="Times New Roman"/>
          <w:color w:val="000000"/>
        </w:rPr>
        <w:t>Sensitivity and exploratory analyses</w:t>
      </w:r>
    </w:p>
    <w:p>
      <w:r>
        <w:rPr>
          <w:rFonts w:ascii="Times New Roman" w:hAnsi="Times New Roman"/>
          <w:b w:val="0"/>
          <w:i w:val="0"/>
          <w:sz w:val="24"/>
        </w:rPr>
        <w:t>Two prespecified sensitivity models added (1) RAI receipt and (2) BRAF V600E and TERT promoter status. Exploratory models additionally added (a) central- and lateral-compartment lymph-node positivity, (b) tested an ETE × ln(1 + lymph-node positive) interaction, (c) restricted the cohort to PTC, (d) substituted a composite "any LVI" flag for the separate five-level lymphatic and vascular invasion variables, and (e) excluded patients with zero recorded follow-up. A stricter follow-up sensitivity analysis excluded patients with less than one year of recorded follow-up. Preoperative CT ETE variables, radiology-defined ETE grade, and CT–pathology concordance fields were not available in the analytic dataset and could not be analyzed.</w:t>
      </w:r>
    </w:p>
    <w:p/>
    <w:p>
      <w:pPr>
        <w:pStyle w:val="Heading2"/>
      </w:pPr>
      <w:r>
        <w:rPr>
          <w:rFonts w:ascii="Times New Roman" w:hAnsi="Times New Roman"/>
          <w:color w:val="000000"/>
        </w:rPr>
        <w:t>Explicit no/negative ETE audit</w:t>
      </w:r>
    </w:p>
    <w:p>
      <w:r>
        <w:rPr>
          <w:rFonts w:ascii="Times New Roman" w:hAnsi="Times New Roman"/>
          <w:b w:val="0"/>
          <w:i w:val="0"/>
          <w:sz w:val="24"/>
        </w:rPr>
        <w:t>Because the no/negative ETE subgroup was small (n = 68) and showed atypical clinical features, we performed a structured confounding audit comparing composite-recurrent and non-recurrent patients within that subgroup. The audit evaluated demographics, tumor size, multifocality, margin status, N stage, central and lateral lymph-node positivity, total thyroidectomy, RAI receipt, repeat surgery, time from first to second surgery, AGES score, follow-up duration, path-proven recurrence, and imaging-only unconfirmed recurrence.</w:t>
      </w:r>
    </w:p>
    <w:p>
      <w:r>
        <w:rPr>
          <w:rFonts w:ascii="Times New Roman" w:hAnsi="Times New Roman"/>
          <w:b w:val="0"/>
          <w:i w:val="0"/>
          <w:sz w:val="24"/>
        </w:rPr>
        <w:t>All computations were performed in Python with statsmodels logistic regression (Logit, Newton method with BFGS fallback) and scipy statistical functions. Analyses were reproducible from the locked patient-level dataset.</w:t>
      </w:r>
    </w:p>
    <w:p>
      <w:r>
        <w:br w:type="page"/>
      </w:r>
    </w:p>
    <w:p/>
    <w:p>
      <w:pPr>
        <w:pStyle w:val="Heading1"/>
      </w:pPr>
      <w:r>
        <w:rPr>
          <w:rFonts w:ascii="Times New Roman" w:hAnsi="Times New Roman"/>
          <w:color w:val="000000"/>
        </w:rPr>
        <w:t>Results</w:t>
      </w:r>
    </w:p>
    <w:p/>
    <w:p>
      <w:pPr>
        <w:pStyle w:val="Heading2"/>
      </w:pPr>
      <w:r>
        <w:rPr>
          <w:rFonts w:ascii="Times New Roman" w:hAnsi="Times New Roman"/>
          <w:color w:val="000000"/>
        </w:rPr>
        <w:t>Cohort characteristics, demographics, and baseline pathology</w:t>
      </w:r>
    </w:p>
    <w:p>
      <w:r>
        <w:rPr>
          <w:rFonts w:ascii="Times New Roman" w:hAnsi="Times New Roman"/>
          <w:b w:val="0"/>
          <w:i w:val="0"/>
          <w:sz w:val="24"/>
        </w:rPr>
        <w:t>The strict-DTC cohort comprised 3,578 patients distributed across three ETE strata: no/negative ETE, n = 68 (1.9 %); microscopic ETE, n = 2,359 (65.9 %); and gross ETE, n = 1,151 (32.2 %) (Table 1). Median age at surgery was 50 years overall (IQR, 38–63) and was similar across groups (no/negative 50 [36.8–58.0], microscopic 50 [38–62], gross 51 [39–64]; p = 0.146). The cohort was 74.2 % female, with the gross-ETE group containing a smaller female proportion (69.6 %) than the microscopic-ETE (76.4 %) or no/negative-ETE (75.0 %) groups (p &lt; 0.001). Race distribution was approximately 58.6 % white, 24.6 % Black/African American, 6.8 % Asian, and 10.0 % other or unknown, with no significant differences across ETE groups (race-specific p values 0.347–0.740). Median body mass index was 28.5 kg/m² (IQR, 24.4–34.0) and did not differ significantly by ETE group (p = 0.427).</w:t>
      </w:r>
    </w:p>
    <w:p>
      <w:r>
        <w:rPr>
          <w:rFonts w:ascii="Times New Roman" w:hAnsi="Times New Roman"/>
          <w:b w:val="0"/>
          <w:i w:val="0"/>
          <w:sz w:val="24"/>
        </w:rPr>
        <w:t>Tumor characteristics differed substantially across ETE strata. Median greatest tumor dimension was 1.2 cm (IQR, 0.5–2.5) in the no/negative-ETE group, 1.5 cm (0.7–2.6) in the microscopic-ETE group, and 2.1 cm (1.1–4.0) in the gross-ETE group (p &lt; 0.001). Multifocal disease (39.4 % vs 34.5 % vs 20.6 %; p &lt; 0.001) and bilateral disease (28.0 % vs 20.7 % vs 7.4 %; p &lt; 0.001) were more frequent in gross-ETE than microscopic-ETE patients. Margin involvement was substantially more common in gross-ETE (26.2 %) than in microscopic-ETE (8.1 %) but was also elevated in no/negative-ETE (22.1 %; p &lt; 0.001), an audit-relevant pattern. Aggressive PTC variant histology was uncommon (1.2 % overall) but was enriched in the gross-ETE group (2.2 % vs 0.7 % microscopic, p &lt; 0.001).</w:t>
      </w:r>
    </w:p>
    <w:p>
      <w:r>
        <w:rPr>
          <w:rFonts w:ascii="Times New Roman" w:hAnsi="Times New Roman"/>
          <w:b w:val="0"/>
          <w:i w:val="0"/>
          <w:sz w:val="24"/>
        </w:rPr>
        <w:t>AJCC eighth-edition T-stage distribution mirrored the ETE definitions, with all gross-ETE patients classified as T3b and no T4a or T4b cases in the cohort. N-stage distribution was N0 30.9 %, N1a 62.3 %, N1b 1.7 %, and Nx 5.0 %; gross ETE was associated with more N1a (69.3 %) and N1b (3.5 %) and less Nx (1.7 %) than the microscopic-ETE group (p &lt; 0.001). AJCC overall stage groups were predominantly Stage I (37.6 %) and Stage II (43.1 %), with very few Stage III or IVA cases; gross ETE was concentrated in Stages II and IVB.</w:t>
      </w:r>
    </w:p>
    <w:p>
      <w:r>
        <w:rPr>
          <w:rFonts w:ascii="Times New Roman" w:hAnsi="Times New Roman"/>
          <w:b w:val="0"/>
          <w:i w:val="0"/>
          <w:sz w:val="24"/>
        </w:rPr>
        <w:t>Histology was dominated by PTC (85.3 %), followed by FTC (13.4 %), poorly-differentiated DTC (1.0 %), and high-grade DTC (0.3 %). Lymphatic and vascular invasion patterns varied by ETE group: any vascular invasion was present in 38.5 % of gross-ETE patients versus 22.3 % of microscopic-ETE patients (p &lt; 0.001). Central-compartment lymph-node positivity (31.3 % vs 16.9 %), lateral-compartment positivity (14.6 % vs 5.6 %), and the composite any-LVI flag (43.4 % vs 25.2 %) were each more frequent in gross-ETE patients (all p &lt; 0.001). Median AGES score increased monotonically across groups (no/negative 6.05; microscopic 7.10; gross 8.30; p &lt; 0.001).</w:t>
      </w:r>
    </w:p>
    <w:p>
      <w:r>
        <w:rPr>
          <w:rFonts w:ascii="Times New Roman" w:hAnsi="Times New Roman"/>
          <w:b w:val="0"/>
          <w:i w:val="0"/>
          <w:sz w:val="24"/>
        </w:rPr>
        <w:t>Treatment was more aggressive in gross-ETE patients: 75.4 % underwent total thyroidectomy (vs 67.6 % microscopic and 57.4 % no/negative; p &lt; 0.001), and 26.6 % received radioactive iodine (vs 11.1 % microscopic and 19.1 % no/negative; p &lt; 0.001). The repeat-surgery rate was higher in the no/negative-ETE group (26.5 %) than in the microscopic-ETE group (14.9 %) or gross-ETE group (14.7 %; p = 0.029). BRAF V600E was identified in 7.2 %, TERT promoter mutation in 1.5 %, RAS in 4.8 %, and RET fusion in 0.4 % of patients overall, with no statistically significant differences across ETE groups; molecular testing was not universal.</w:t>
      </w:r>
    </w:p>
    <w:p/>
    <w:p>
      <w:pPr>
        <w:pStyle w:val="Heading2"/>
      </w:pPr>
      <w:r>
        <w:rPr>
          <w:rFonts w:ascii="Times New Roman" w:hAnsi="Times New Roman"/>
          <w:color w:val="000000"/>
        </w:rPr>
        <w:t>Follow-up and recurrence</w:t>
      </w:r>
    </w:p>
    <w:p>
      <w:r>
        <w:rPr>
          <w:rFonts w:ascii="Times New Roman" w:hAnsi="Times New Roman"/>
          <w:b w:val="0"/>
          <w:i w:val="0"/>
          <w:sz w:val="24"/>
        </w:rPr>
        <w:t>Median follow-up was 1.12 years overall (IQR, 0.00–4.95). One-third of the cohort (1,187 patients; 33.2 %) had zero recorded follow-up years. Follow-up differed by ETE group: 1.42 years (IQR, 0.00–6.36) in no/negative ETE, 0.70 years (IQR, 0.00–4.34) in microscopic ETE, and 1.99 years (IQR, 0.04–5.65) in gross ETE; the proportion with zero follow-up was 36.8 %, 37.9 %, and 23.4 %, respectively. Path-proven recurrence occurred in 105 patients (2.9 %): 3 with no/negative ETE (4.4 %), 45 with microscopic ETE (1.9 %), and 57 with gross ETE (5.0 %) (Figure 2). Composite recurrence (path-proven or imaging-only unconfirmed) occurred in 241 patients (6.7 %): 4 no/negative-ETE (5.9 %), 116 microscopic-ETE (4.9 %), and 121 gross-ETE patients (10.5 %). Imaging-then-path confirmed recurrence — the subset of path-proven events first identified on imaging — occurred in 21 patients (0.6 %).</w:t>
      </w:r>
    </w:p>
    <w:p/>
    <w:p>
      <w:pPr>
        <w:pStyle w:val="Heading2"/>
      </w:pPr>
      <w:r>
        <w:rPr>
          <w:rFonts w:ascii="Times New Roman" w:hAnsi="Times New Roman"/>
          <w:color w:val="000000"/>
        </w:rPr>
        <w:t>Lymph-node and lymphovascular-invasion patterns</w:t>
      </w:r>
    </w:p>
    <w:p>
      <w:r>
        <w:rPr>
          <w:rFonts w:ascii="Times New Roman" w:hAnsi="Times New Roman"/>
          <w:b w:val="0"/>
          <w:i w:val="0"/>
          <w:sz w:val="24"/>
        </w:rPr>
        <w:t>Gross ETE displayed a higher lymphatic-burden phenotype than microscopic ETE. Central-compartment lymph-node positivity was present in 31.3 % of gross-ETE patients versus 16.9 % of microscopic-ETE patients, and lateral-compartment positivity was present in 14.6 % versus 5.6 %, respectively. The composite any-LVI flag was present in 43.4 % of gross-ETE versus 25.2 % of microscopic-ETE patients. Any vascular invasion was also more frequent in gross than microscopic ETE (38.5 % vs 22.3 %), supporting separate evaluation of lymphatic and vascular invasion in the regression model.</w:t>
      </w:r>
    </w:p>
    <w:p/>
    <w:p>
      <w:pPr>
        <w:pStyle w:val="Heading2"/>
      </w:pPr>
      <w:r>
        <w:rPr>
          <w:rFonts w:ascii="Times New Roman" w:hAnsi="Times New Roman"/>
          <w:color w:val="000000"/>
        </w:rPr>
        <w:t>Primary multivariable regression</w:t>
      </w:r>
    </w:p>
    <w:p>
      <w:r>
        <w:rPr>
          <w:rFonts w:ascii="Times New Roman" w:hAnsi="Times New Roman"/>
          <w:b w:val="0"/>
          <w:i w:val="0"/>
          <w:sz w:val="24"/>
        </w:rPr>
        <w:t>In the primary multivariable model (N = 3,572; 105 events), gross ETE was associated with higher odds of path-proven recurrence than microscopic ETE (aOR, 1.77; 95 % CI, 1.15–2.71; p = 0.009; Table 2). The no/negative-vs-microscopic contrast was point-elevated but imprecise (aOR, 2.72; 95 % CI, 0.80–9.30; p = 0.111). Tumor size remained independently associated with recurrence (aOR for ln[1 + size], 1.93; 95 % CI, 1.27–2.92; p = 0.002). FTC was associated with lower odds of recurrence than PTC (aOR, 0.31; 95 % CI, 0.14–0.71; p = 0.006). Focal vascular invasion was independently associated with recurrence (aOR, 2.25; 95 % CI, 1.07–4.73; p = 0.033), whereas lymphatic invasion present versus missing was not (aOR, 0.87; 95 % CI, 0.47–1.61; p = 0.657). N1b versus N0 trended elevated but did not reach significance (aOR, 2.24; 95 % CI, 0.83–6.03; p = 0.110). Nx, high-grade DTC, and lymphatic-focal cells were quasi-separated and were transparently dropped.</w:t>
      </w:r>
    </w:p>
    <w:p/>
    <w:p>
      <w:pPr>
        <w:pStyle w:val="Heading2"/>
      </w:pPr>
      <w:r>
        <w:rPr>
          <w:rFonts w:ascii="Times New Roman" w:hAnsi="Times New Roman"/>
          <w:color w:val="000000"/>
        </w:rPr>
        <w:t>Sensitivity and exploratory models</w:t>
      </w:r>
    </w:p>
    <w:p>
      <w:r>
        <w:rPr>
          <w:rFonts w:ascii="Times New Roman" w:hAnsi="Times New Roman"/>
          <w:b w:val="0"/>
          <w:i w:val="0"/>
          <w:sz w:val="24"/>
        </w:rPr>
        <w:t>The gross-vs-microscopic ETE association was directionally consistent across model specifications (Table 3; Figure 3). The crude OR was 2.68 (95 % CI, 1.80–3.99; p &lt; 0.001). The BRAF/TERT-adjusted aOR was 1.78 (95 % CI, 1.16–2.73; p = 0.008). The lymph-node-topography exploratory aOR was 1.99 (95 % CI, 1.31–3.02; p = 0.001), with both central LN+ (aOR 1.78; 95 % CI, 1.04–3.06; p = 0.036) and lateral LN+ (aOR 1.85; 95 % CI, 1.05–3.24; p = 0.033) entering independently. The ETE × ln(1 + lymph-node positive) interaction was not significant (interaction OR, 0.87; 95 % CI, 0.59–1.28; p = 0.485), suggesting an additive rather than multiplicative architecture between gross ETE and nodal burden. In the PTC-only model, the aOR was 1.97 (95 % CI, 1.26–3.07; p = 0.003); in the composite-LVI model, 2.04 (95 % CI, 1.35–3.09; p &lt; 0.001).</w:t>
      </w:r>
    </w:p>
    <w:p>
      <w:r>
        <w:rPr>
          <w:rFonts w:ascii="Times New Roman" w:hAnsi="Times New Roman"/>
          <w:b w:val="0"/>
          <w:i w:val="0"/>
          <w:sz w:val="24"/>
        </w:rPr>
        <w:t>Adding RAI attenuated the gross-vs-microscopic estimate to aOR 1.40 (95 % CI, 0.90–2.16; p = 0.136), with RAI itself entering the model at aOR 3.72 (95 % CI, 2.45–5.64; p &lt; 0.001), a pattern consistent with confounding by indication.</w:t>
      </w:r>
    </w:p>
    <w:p>
      <w:r>
        <w:rPr>
          <w:rFonts w:ascii="Times New Roman" w:hAnsi="Times New Roman"/>
          <w:b w:val="0"/>
          <w:i w:val="0"/>
          <w:sz w:val="24"/>
        </w:rPr>
        <w:t>In a prespecified sensitivity analysis excluding the 1,187 patients with zero recorded follow-up, the gross-vs-microscopic aOR was 1.79 (95 % CI, 1.17–2.72; p = 0.007). With a more restrictive exclusion requiring follow-up of at least one year, the aOR strengthened to 2.10 (95 % CI, 1.30–3.39; p = 0.002), and N1b versus N0 reached significance (aOR, 3.88; 95 % CI, 1.34–11.25; p = 0.013).</w:t>
      </w:r>
    </w:p>
    <w:p/>
    <w:p>
      <w:pPr>
        <w:pStyle w:val="Heading2"/>
      </w:pPr>
      <w:r>
        <w:rPr>
          <w:rFonts w:ascii="Times New Roman" w:hAnsi="Times New Roman"/>
          <w:color w:val="000000"/>
        </w:rPr>
        <w:t>No/negative ETE confounding audit</w:t>
      </w:r>
    </w:p>
    <w:p>
      <w:r>
        <w:rPr>
          <w:rFonts w:ascii="Times New Roman" w:hAnsi="Times New Roman"/>
          <w:b w:val="0"/>
          <w:i w:val="0"/>
          <w:sz w:val="24"/>
        </w:rPr>
        <w:t>The no/negative ETE subgroup contained 68 patients with 4 composite recurrences and 3 path-proven recurrences. Among the 4 composite-recurrent no/negative patients, median follow-up was 9.68 years (IQR, 4.53–13.84) compared with 1.20 years (IQR, 0.00–5.91) among the 64 non-recurrent no/negative patients — an approximately 8-fold difference (Table 4). All 4 recurrent patients underwent at least two surgeries (100 %), compared with 14 of 64 non-recurrent patients (21.9 %), with a median time to second surgery of 629.5 days (IQR, 366.8–1,050.5) versus 116.5 days (IQR, 49.5–241.8) among re-operated non-recurrent patients. Recurrent no/negative patients were also enriched for margin involvement (75.0 % vs 18.8 %), RAI receipt (75.0 % vs 15.6 %), and AGES score (median 8.90 [IQR, 7.72–9.98] vs 5.86 [IQR, 3.00–7.15]).</w:t>
      </w:r>
    </w:p>
    <w:p>
      <w:r>
        <w:br w:type="page"/>
      </w:r>
    </w:p>
    <w:p/>
    <w:p>
      <w:pPr>
        <w:pStyle w:val="Heading1"/>
      </w:pPr>
      <w:r>
        <w:rPr>
          <w:rFonts w:ascii="Times New Roman" w:hAnsi="Times New Roman"/>
          <w:color w:val="000000"/>
        </w:rPr>
        <w:t>Discussion</w:t>
      </w:r>
    </w:p>
    <w:p>
      <w:r>
        <w:rPr>
          <w:rFonts w:ascii="Times New Roman" w:hAnsi="Times New Roman"/>
          <w:b w:val="0"/>
          <w:i w:val="0"/>
          <w:sz w:val="24"/>
        </w:rPr>
        <w:t>In this strict-DTC surgical cohort of 3,578 patients with 105 path-proven recurrences, gross ETE was independently associated with higher odds of path-proven recurrence than microscopic ETE after adjustment for age, sex, log-transformed tumor size, AJCC eighth-edition N stage, five-level histology, and separate five-level lymphatic and vascular invasion categories. The primary estimate was clinically meaningful and statistically significant (aOR, 1.77; 95 % CI, 1.15–2.71; p = 0.009). The association was directionally consistent across sensitivity and exploratory analyses, including molecular adjustment, lymph-node-topography adjustment, PTC-only restriction, composite-LVI modeling, and follow-up-restricted analyses. The sole attenuated nonsignificant specification was the RAI-adjusted model, in which RAI itself entered strongly, consistent with confounding by indication rather than a causal adverse effect of RAI.</w:t>
      </w:r>
    </w:p>
    <w:p>
      <w:r>
        <w:rPr>
          <w:rFonts w:ascii="Times New Roman" w:hAnsi="Times New Roman"/>
          <w:b w:val="0"/>
          <w:i w:val="0"/>
          <w:sz w:val="24"/>
        </w:rPr>
        <w:t>These findings provide pathologic support, from the outcomes side, for the AJCC eighth-edition decision to separate microscopic ETE from gross ETE for anatomic staging.¹,² They do not imply that microscopic ETE is clinically irrelevant. Rather, microscopic ETE should be interpreted as one component of individualized recurrence-risk assessment, integrated with tumor size, N stage and nodal topography, number and size of involved lymph nodes, extranodal extension when available, LVI subtype, aggressive histology, margin status, postoperative thyroglobulin, molecular data when complete, and dynamic response to therapy.³,⁹ This interpretation reconciles AJCC eighth-edition de-escalation for mortality staging with American Thyroid Association–style recurrence-risk assessment.</w:t>
      </w:r>
    </w:p>
    <w:p>
      <w:r>
        <w:rPr>
          <w:rFonts w:ascii="Times New Roman" w:hAnsi="Times New Roman"/>
          <w:b w:val="0"/>
          <w:i w:val="0"/>
          <w:sz w:val="24"/>
        </w:rPr>
        <w:t>A plausible biologic explanation is that gross ETE represents a more advanced invasion phenotype accompanied by greater primary-tumor burden, lymphatic access, and nodal dissemination. Gross ETE was associated with larger tumors, higher central- (31.3 % vs 16.9 %) and lateral- (14.6 % vs 5.6 %) compartment lymph-node positivity, greater margin involvement, and more LVI than microscopic ETE. The lymph-node-topography exploratory model preserved and slightly sharpened the gross-ETE signal (aOR 1.99) while showing that both central and lateral nodal positivity were independently associated with recurrence; the ETE × nodal-burden interaction was not significant (interaction p = 0.485), suggesting an additive risk architecture in which gross invasion, tumor size, vascular invasion, and nodal burden each contribute to observed recurrence.</w:t>
      </w:r>
    </w:p>
    <w:p>
      <w:r>
        <w:rPr>
          <w:rFonts w:ascii="Times New Roman" w:hAnsi="Times New Roman"/>
          <w:b w:val="0"/>
          <w:i w:val="0"/>
          <w:sz w:val="24"/>
        </w:rPr>
        <w:t>Separating lymphatic from vascular invasion added information beyond a composite LVI variable. The composite-LVI model preserved the gross-vs-microscopic ETE association, but the primary model revealed a distinct vascular signal: focal vascular invasion was independently associated with recurrence (aOR 2.25; 95 % CI, 1.07–4.73; p = 0.033), whereas lymphatic invasion present versus missing was not (aOR 0.87; 95 % CI, 0.47–1.61; p = 0.657). Because lymphatic and vascular invasion may reflect different routes of tumor dissemination and are reported with different degrees of completeness, combining them into a single flag risks both biologic oversimplification and statistical misclassification. Future pathology workflows should pursue more complete and standardized reporting of both components.</w:t>
      </w:r>
    </w:p>
    <w:p/>
    <w:p>
      <w:pPr>
        <w:pStyle w:val="Heading2"/>
      </w:pPr>
      <w:r>
        <w:rPr>
          <w:rFonts w:ascii="Times New Roman" w:hAnsi="Times New Roman"/>
          <w:color w:val="000000"/>
        </w:rPr>
        <w:t>The no/negative ETE subgroup as a confounded comparator</w:t>
      </w:r>
    </w:p>
    <w:p>
      <w:r>
        <w:rPr>
          <w:rFonts w:ascii="Times New Roman" w:hAnsi="Times New Roman"/>
          <w:b w:val="0"/>
          <w:i w:val="0"/>
          <w:sz w:val="24"/>
        </w:rPr>
        <w:t>The no/negative ETE subgroup warrants careful interpretation. Its crude path-proven recurrence rate appeared paradoxically elevated compared with microscopic ETE (4.4 % vs 1.9 %), and its adjusted no/negative-vs-microscopic OR was point-elevated but imprecise (aOR, 2.72; 95 % CI, 0.80–9.30; p = 0.111). The structured audit (Table 4) provides five converging lines of quantitative evidence that this apparent excess is an artifact of ascertainment bias, referral complexity, and surgical-selection effects rather than a biologic signal.</w:t>
      </w:r>
    </w:p>
    <w:p>
      <w:r>
        <w:rPr>
          <w:rFonts w:ascii="Times New Roman" w:hAnsi="Times New Roman"/>
          <w:b w:val="0"/>
          <w:i w:val="0"/>
          <w:sz w:val="24"/>
        </w:rPr>
        <w:t>First, the follow-up differential was extreme: the four composite-recurrent no/negative patients had a median follow-up of 9.68 years (IQR, 4.53–13.84), compared with 1.20 years (IQR, 0.00–5.91) among non-recurrent no/negative patients — an approximately 8-fold difference. Second, all four recurrent patients (100 %) underwent at least two surgeries, compared with 21.9 % of non-recurrent patients; the time to second surgery was substantially longer among recurrent patients (median 629.5 days; IQR, 366.8–1,050.5) than among re-operated non-recurrent patients (median 116.5 days; IQR, 49.5–241.8). Third, recurrent no/negative patients were enriched for margin involvement (75 % vs 18.8 %), RAI receipt (75 % vs 15.6 %), and AGES score (median 8.90 [IQR, 7.72–9.98] vs 5.86 [IQR, 3.00–7.15]), indicating that the recurrences occurred in a small subset of clinically complex, high-risk patients who were not typical of the no/negative ETE group as a whole. Fourth, the no/negative subgroup itself was enriched for atypical referral pathways: 26.5 % had ≥ 2 surgeries (vs 14.9 % in microscopic ETE), and 23.5 % had Nx status (vs 6.1 % in microscopic ETE). Fifth, in a prespecified sensitivity analysis excluding patients with zero recorded follow-up (leaving 43 no/negative, 1,466 microscopic, and 882 gross-ETE patients), the gross-vs-microscopic signal was preserved (aOR 1.79; 95 % CI, 1.17–2.72; p = 0.007) while the no/negative-vs-microscopic contrast remained non-significant (aOR 2.46; 95 % CI, 0.72–8.42; p = 0.150).</w:t>
      </w:r>
    </w:p>
    <w:p>
      <w:r>
        <w:rPr>
          <w:rFonts w:ascii="Times New Roman" w:hAnsi="Times New Roman"/>
          <w:b w:val="0"/>
          <w:i w:val="0"/>
          <w:sz w:val="24"/>
        </w:rPr>
        <w:t>We therefore designate the no/negative ETE group a confounded comparator. It is appropriate evidence that the no/negative-vs-microscopic contrast is underpowered and ascertainment-confounded; it is not evidence that absent ETE paradoxically increases recurrence risk. The AJCC eighth-edition framework is designed to distinguish gross from microscopic ETE, not to characterize the small population of patients with formally documented absent ETE — itself a pathologic finding subject to reporting and ascertainment variability.</w:t>
      </w:r>
    </w:p>
    <w:p/>
    <w:p>
      <w:pPr>
        <w:pStyle w:val="Heading2"/>
      </w:pPr>
      <w:r>
        <w:rPr>
          <w:rFonts w:ascii="Times New Roman" w:hAnsi="Times New Roman"/>
          <w:color w:val="000000"/>
        </w:rPr>
        <w:t>Statistical power and model stability</w:t>
      </w:r>
    </w:p>
    <w:p>
      <w:r>
        <w:rPr>
          <w:rFonts w:ascii="Times New Roman" w:hAnsi="Times New Roman"/>
          <w:b w:val="0"/>
          <w:i w:val="0"/>
          <w:sz w:val="24"/>
        </w:rPr>
        <w:t>Statistical power was asymmetric across the two principal contrasts. For the gross-vs-microscopic comparison, with 57 versus 45 events in groups of 1,151 and 2,359 patients, the study has greater than 90 % power to detect an OR of 2.0 and approximately 70 % power to detect an OR of 1.5 at α = 0.05. The observed aOR of 1.77 was detected with p = 0.009 and was stable across model specifications. For the no/negative-vs-microscopic comparison, with 3 events in 68 patients versus 45 events in 2,359 patients, power to detect an OR of 2.5 at α = 0.05 is less than 30 %.</w:t>
      </w:r>
    </w:p>
    <w:p>
      <w:r>
        <w:rPr>
          <w:rFonts w:ascii="Times New Roman" w:hAnsi="Times New Roman"/>
          <w:b w:val="0"/>
          <w:i w:val="0"/>
          <w:sz w:val="24"/>
        </w:rPr>
        <w:t>The events-per-variable (EPV) ratio for the full primary model is 5.8 (105 events across approximately 18 parameters), below the conventional threshold of 10 proposed by Peduzzi and colleagues. This is a recognized limitation, mitigated by four features of the analysis: the primary inference concerns the two-degree-of-freedom ETE contrast rather than the full covariate set; quasi-separated strata (Nx, high-grade DTC, lymphatic-focal) are transparently detected and dropped; sensitivity analyses with reduced covariate sets produce similar ETE estimates; and the direction and significance of the gross-vs-microscopic contrast are stable across all model specifications that do not include RAI.</w:t>
      </w:r>
    </w:p>
    <w:p/>
    <w:p>
      <w:pPr>
        <w:pStyle w:val="Heading2"/>
      </w:pPr>
      <w:r>
        <w:rPr>
          <w:rFonts w:ascii="Times New Roman" w:hAnsi="Times New Roman"/>
          <w:color w:val="000000"/>
        </w:rPr>
        <w:t>CT imaging context</w:t>
      </w:r>
    </w:p>
    <w:p>
      <w:r>
        <w:rPr>
          <w:rFonts w:ascii="Times New Roman" w:hAnsi="Times New Roman"/>
          <w:b w:val="0"/>
          <w:i w:val="0"/>
          <w:sz w:val="24"/>
        </w:rPr>
        <w:t>The differential prognostic significance of gross versus microscopic ETE identified in our study is best interpreted alongside the preoperative imaging literature. A focused systematic review of 12 CT studies in surgical thyroid-cancer cohorts using pathology as the reference standard demonstrates a fundamental asymmetry in CT diagnostic performance: CT specificity for ETE is consistently high (85 %–98 %) when structured radiologic criteria are used, whereas sensitivity is variable (14 %–99 %; typically 40 %–78 % with structured criteria). CT performs substantially better for gross ETE (~80 % sensitivity; AUC 0.80) than for microscopic ETE (~50 % sensitivity; AUC 0.72).¹¹,¹² Performance also varied by anatomical structure, with vascular invasion showing higher sensitivity (75 %–83 %) than esophageal invasion (29 %–77 %). Importantly, fewer than one-third of these primary studies acknowledged surgical selection bias, and over half of the meta-analyzed studies were judged to be at high risk of bias.</w:t>
      </w:r>
    </w:p>
    <w:p>
      <w:r>
        <w:rPr>
          <w:rFonts w:ascii="Times New Roman" w:hAnsi="Times New Roman"/>
          <w:b w:val="0"/>
          <w:i w:val="0"/>
          <w:sz w:val="24"/>
        </w:rPr>
        <w:t>This imaging-performance profile is coherent with our pathology-based outcomes findings. Gross ETE — the subtype that independently predicts recurrence — is also the subtype that CT can detect with reasonable sensitivity and high specificity. Conversely, microscopic ETE is both less reproducibly detected on CT and less strongly associated with recurrence after adjustment. These complementary findings support a clinical pathway in which preoperative CT is most valuable when gross invasion is suspected and when positive findings may alter surgical planning, whereas postoperative pathology remains essential for definitive ETE classification. Emerging radiomics-based approaches (AUC 0.78–0.84 in preliminary studies) may improve preoperative gross-ETE detection without sacrificing specificity. We did not have structured preoperative CT ETE variables in this dataset, so direct correlation of imaging classification, surgical decision-making, and pathologic ETE grade was not possible — an important data gap that future studies should close.</w:t>
      </w:r>
    </w:p>
    <w:p/>
    <w:p>
      <w:pPr>
        <w:pStyle w:val="Heading2"/>
      </w:pPr>
      <w:r>
        <w:rPr>
          <w:rFonts w:ascii="Times New Roman" w:hAnsi="Times New Roman"/>
          <w:color w:val="000000"/>
        </w:rPr>
        <w:t>Generalizability and the zero-follow-up challenge</w:t>
      </w:r>
    </w:p>
    <w:p>
      <w:r>
        <w:rPr>
          <w:rFonts w:ascii="Times New Roman" w:hAnsi="Times New Roman"/>
          <w:b w:val="0"/>
          <w:i w:val="0"/>
          <w:sz w:val="24"/>
        </w:rPr>
        <w:t>One-third of the cohort (1,187 of 3,578; 33.2 %) had zero recorded follow-up years. This data feature has three implications. First, it precludes Cox proportional-hazards modeling. Second, it inflates rate denominators without contributing comparable surveillance time: only one of the 1,187 zero-follow-up patients had a path-proven recurrence. Third, it could introduce selection bias if zero follow-up is non-random across ETE groups — and indeed it is, with 37.9 % of microscopic-ETE patients but only 23.4 % of gross-ETE patients having zero follow-up. We addressed this with prespecified sensitivity analyses described in the Results: excluding zero-follow-up patients yielded aOR 1.79 (p = 0.007), and excluding patients with less than one year of follow-up yielded aOR 2.10 (p = 0.002), with N1b reaching significance in the latter cohort. The primary findings are therefore not artifacts of zero-follow-up dilution and, if anything, are conservative.</w:t>
      </w:r>
    </w:p>
    <w:p>
      <w:r>
        <w:rPr>
          <w:rFonts w:ascii="Times New Roman" w:hAnsi="Times New Roman"/>
          <w:b w:val="0"/>
          <w:i w:val="0"/>
          <w:sz w:val="24"/>
        </w:rPr>
        <w:t>This is a single-institution study from a large academic referral center and may over-represent complex or higher-risk cases relative to community practice. Practice patterns for surgery, pathology reporting, RAI selection, and surveillance may also differ across institutions. Single-institution data offer the advantage of consistent pathologic classification, uniform ETE grading, and a single electronic health record for endpoint ascertainment, all of which reduce measurement error in the exposure and outcome; ETE grading is subject to substantial interobserver variability, and in multicenter studies heterogeneity in grading criteria typically biases associations toward the null. Multicenter validation with prospective ETE grading and standardized follow-up nevertheless remains an essential next step.</w:t>
      </w:r>
    </w:p>
    <w:p/>
    <w:p>
      <w:pPr>
        <w:pStyle w:val="Heading2"/>
      </w:pPr>
      <w:r>
        <w:rPr>
          <w:rFonts w:ascii="Times New Roman" w:hAnsi="Times New Roman"/>
          <w:color w:val="000000"/>
        </w:rPr>
        <w:t>Limitations</w:t>
      </w:r>
    </w:p>
    <w:p>
      <w:r>
        <w:rPr>
          <w:rFonts w:ascii="Times New Roman" w:hAnsi="Times New Roman"/>
          <w:b w:val="0"/>
          <w:i w:val="0"/>
          <w:sz w:val="24"/>
        </w:rPr>
        <w:t>This study has several limitations beyond those discussed above. The retrospective design relies on existing pathology classifications and follow-up workflows. Follow-up was short and uneven, and late recurrences (≥ 5 years) are likely under-ascertained. The binary logistic framework cannot estimate hazard rates, recurrence-free survival, or proportional-hazards assumptions, and the EPV of 5.8 limits precision for sparse categories, interactions, and subgroup analyses. The dataset did not contain structured preoperative CT ETE variables, radiology-defined ETE grade, or CT–pathology concordance fields, precluding direct evaluation of imaging diagnostic performance. BRAF and TERT testing was not universal, so molecular sensitivity analyses are limited to those tested; additional molecular variables (RAS, RET) and full extranodal-extension data were not available. Finally, the no/negative ETE subgroup was small, atypical, and underpowered, preventing a reliable propensity-matched comparison with microscopic ETE.</w:t>
      </w:r>
    </w:p>
    <w:p/>
    <w:p>
      <w:pPr>
        <w:pStyle w:val="Heading2"/>
      </w:pPr>
      <w:r>
        <w:rPr>
          <w:rFonts w:ascii="Times New Roman" w:hAnsi="Times New Roman"/>
          <w:color w:val="000000"/>
        </w:rPr>
        <w:t>Future directions</w:t>
      </w:r>
    </w:p>
    <w:p>
      <w:r>
        <w:rPr>
          <w:rFonts w:ascii="Times New Roman" w:hAnsi="Times New Roman"/>
          <w:b w:val="0"/>
          <w:i w:val="0"/>
          <w:sz w:val="24"/>
        </w:rPr>
        <w:t>Future work should validate these findings in multicenter cohorts with prospective ETE grading, longer standardized follow-up, detailed nodal-burden annotation including extranodal extension, postoperative thyroglobulin, and dynamic response to therapy. Imaging integration should include structured CT reporting, ultrasound–CT fusion variables, radiomics, and machine-learning approaches designed to improve preoperative detection of gross ETE while preserving the high specificity needed for surgical planning. Expanding the no/negative ETE subgroup through multicenter collaboration (target n ≥ 200 with ≥ 10 events) would enable a propensity-matched comparison with microscopic ETE and could resolve the inconclusive contrast observed in our cohort.</w:t>
      </w:r>
    </w:p>
    <w:p/>
    <w:p>
      <w:pPr>
        <w:pStyle w:val="Heading1"/>
      </w:pPr>
      <w:r>
        <w:rPr>
          <w:rFonts w:ascii="Times New Roman" w:hAnsi="Times New Roman"/>
          <w:color w:val="000000"/>
        </w:rPr>
        <w:t>Conclusion</w:t>
      </w:r>
    </w:p>
    <w:p>
      <w:r>
        <w:rPr>
          <w:rFonts w:ascii="Times New Roman" w:hAnsi="Times New Roman"/>
          <w:b w:val="0"/>
          <w:i w:val="0"/>
          <w:sz w:val="24"/>
        </w:rPr>
        <w:t>In a strict-DTC surgical cohort with path-proven recurrence as the primary endpoint, gross ETE was associated with higher adjusted odds of recurrence than microscopic ETE. The small no/negative ETE subgroup was underpowered and confounded by follow-up, reoperation, margin, RAI, and referral-selection effects. These findings support the AJCC eighth-edition separation of microscopic from gross ETE for anatomic staging while preserving microscopic ETE as a contextual feature in individualized recurrence-risk assessment.</w:t>
      </w:r>
    </w:p>
    <w:p>
      <w:r>
        <w:br w:type="page"/>
      </w:r>
    </w:p>
    <w:p/>
    <w:p>
      <w:pPr>
        <w:pStyle w:val="Heading1"/>
      </w:pPr>
      <w:r>
        <w:rPr>
          <w:rFonts w:ascii="Times New Roman" w:hAnsi="Times New Roman"/>
          <w:color w:val="000000"/>
        </w:rPr>
        <w:t>Declarations</w:t>
      </w:r>
    </w:p>
    <w:p>
      <w:r>
        <w:rPr>
          <w:rFonts w:ascii="Times New Roman" w:hAnsi="Times New Roman"/>
          <w:b w:val="0"/>
          <w:i w:val="0"/>
          <w:sz w:val="24"/>
        </w:rPr>
        <w:t>Ethics approval and consent to participate: [Insert institutional review board approval number/status, waiver of informed consent, and any data-use approvals.]</w:t>
      </w:r>
    </w:p>
    <w:p>
      <w:r>
        <w:rPr>
          <w:rFonts w:ascii="Times New Roman" w:hAnsi="Times New Roman"/>
          <w:b w:val="0"/>
          <w:i w:val="0"/>
          <w:sz w:val="24"/>
        </w:rPr>
        <w:t>Consent for publication: Not applicable / [Insert if required by institution or journal].</w:t>
      </w:r>
    </w:p>
    <w:p>
      <w:r>
        <w:rPr>
          <w:rFonts w:ascii="Times New Roman" w:hAnsi="Times New Roman"/>
          <w:b w:val="0"/>
          <w:i w:val="0"/>
          <w:sz w:val="24"/>
        </w:rPr>
        <w:t>Availability of data and materials: [Insert institutional data-sharing statement. Deidentified analytic data availability should be stated according to institutional policy and patient privacy requirements.]</w:t>
      </w:r>
    </w:p>
    <w:p>
      <w:r>
        <w:rPr>
          <w:rFonts w:ascii="Times New Roman" w:hAnsi="Times New Roman"/>
          <w:b w:val="0"/>
          <w:i w:val="0"/>
          <w:sz w:val="24"/>
        </w:rPr>
        <w:t>Code availability: [Insert code repository or availability-upon-request statement. The analyst-maintained build_strict_dtc_deliverables.py script that derives the strict-DTC deliverables from the institutional database should be included as supplemental material for reproducibility.]</w:t>
      </w:r>
    </w:p>
    <w:p>
      <w:r>
        <w:rPr>
          <w:rFonts w:ascii="Times New Roman" w:hAnsi="Times New Roman"/>
          <w:b w:val="0"/>
          <w:i w:val="0"/>
          <w:sz w:val="24"/>
        </w:rPr>
        <w:t>Competing interests: [Insert disclosures for all authors, including financial, advisory, consulting, speaking, equity, intellectual-property, and grant relationships.]</w:t>
      </w:r>
    </w:p>
    <w:p>
      <w:r>
        <w:rPr>
          <w:rFonts w:ascii="Times New Roman" w:hAnsi="Times New Roman"/>
          <w:b w:val="0"/>
          <w:i w:val="0"/>
          <w:sz w:val="24"/>
        </w:rPr>
        <w:t>Funding: [Insert funding sources or 'No external funding was received.']</w:t>
      </w:r>
    </w:p>
    <w:p>
      <w:r>
        <w:rPr>
          <w:rFonts w:ascii="Times New Roman" w:hAnsi="Times New Roman"/>
          <w:b w:val="0"/>
          <w:i w:val="0"/>
          <w:sz w:val="24"/>
        </w:rPr>
        <w:t>Author contributions: [Insert author contributions using the journal-required taxonomy, e.g., CRediT categories: Conceptualization, Methodology, Software, Validation, Formal analysis, Investigation, Resources, Data curation, Writing — original draft, Writing — review &amp; editing, Visualization, Supervision, Project administration, Funding acquisition.]</w:t>
      </w:r>
    </w:p>
    <w:p>
      <w:r>
        <w:rPr>
          <w:rFonts w:ascii="Times New Roman" w:hAnsi="Times New Roman"/>
          <w:b w:val="0"/>
          <w:i w:val="0"/>
          <w:sz w:val="24"/>
        </w:rPr>
        <w:t>Acknowledgments: [Insert acknowledgments — biostatistical, data-management, pathology, and informatics support; data stewards; trainee involvement.]</w:t>
      </w:r>
    </w:p>
    <w:p>
      <w:r>
        <w:br w:type="page"/>
      </w:r>
    </w:p>
    <w:p/>
    <w:p>
      <w:pPr>
        <w:pStyle w:val="Heading1"/>
      </w:pPr>
      <w:r>
        <w:rPr>
          <w:rFonts w:ascii="Times New Roman" w:hAnsi="Times New Roman"/>
          <w:color w:val="000000"/>
        </w:rPr>
        <w:t>References</w:t>
      </w:r>
    </w:p>
    <w:p>
      <w:pPr>
        <w:spacing w:line="240" w:lineRule="auto"/>
      </w:pPr>
      <w:r>
        <w:rPr>
          <w:rFonts w:ascii="Times New Roman" w:hAnsi="Times New Roman"/>
          <w:b w:val="0"/>
          <w:i w:val="0"/>
          <w:sz w:val="24"/>
        </w:rPr>
        <w:t>1. Amin MB, Edge SB, Greene FL, et al., eds. AJCC Cancer Staging Manual. 8th ed. New York, NY: Springer; 2017.</w:t>
      </w:r>
    </w:p>
    <w:p>
      <w:pPr>
        <w:spacing w:line="240" w:lineRule="auto"/>
      </w:pPr>
      <w:r>
        <w:rPr>
          <w:rFonts w:ascii="Times New Roman" w:hAnsi="Times New Roman"/>
          <w:b w:val="0"/>
          <w:i w:val="0"/>
          <w:sz w:val="24"/>
        </w:rPr>
        <w:t>2. Tuttle RM, Haugen B, Perrier ND. Updated American Joint Committee on Cancer/Tumor-Node-Metastasis Staging System for differentiated and anaplastic thyroid cancer (eighth edition): what changed and why? Thyroid. 2017;27(6):751–756.</w:t>
      </w:r>
    </w:p>
    <w:p>
      <w:pPr>
        <w:spacing w:line="240" w:lineRule="auto"/>
      </w:pPr>
      <w:r>
        <w:rPr>
          <w:rFonts w:ascii="Times New Roman" w:hAnsi="Times New Roman"/>
          <w:b w:val="0"/>
          <w:i w:val="0"/>
          <w:sz w:val="24"/>
        </w:rPr>
        <w:t>3. Haugen BR, Alexander EK, Bible KC, et al. 2015 American Thyroid Association management guidelines for adult patients with thyroid nodules and differentiated thyroid cancer. Thyroid. 2016;26(1):1–133.</w:t>
      </w:r>
    </w:p>
    <w:p>
      <w:pPr>
        <w:spacing w:line="240" w:lineRule="auto"/>
      </w:pPr>
      <w:r>
        <w:rPr>
          <w:rFonts w:ascii="Times New Roman" w:hAnsi="Times New Roman"/>
          <w:b w:val="0"/>
          <w:i w:val="0"/>
          <w:sz w:val="24"/>
        </w:rPr>
        <w:t>4. Tran B, Roshan D, Abraham E, et al. An analysis of the American Joint Committee on Cancer 8th edition T staging system for papillary thyroid carcinoma. J Clin Endocrinol Metab. 2018;103(6):2199–2206.</w:t>
      </w:r>
    </w:p>
    <w:p>
      <w:pPr>
        <w:spacing w:line="240" w:lineRule="auto"/>
      </w:pPr>
      <w:r>
        <w:rPr>
          <w:rFonts w:ascii="Times New Roman" w:hAnsi="Times New Roman"/>
          <w:b w:val="0"/>
          <w:i w:val="0"/>
          <w:sz w:val="24"/>
        </w:rPr>
        <w:t>5. Park JS, Son KR, Na DG, et al. Clinical implications of microscopic extrathyroidal extension in patients with papillary thyroid carcinoma. Oral Oncol. 2017;72:183–187.</w:t>
      </w:r>
    </w:p>
    <w:p>
      <w:pPr>
        <w:spacing w:line="240" w:lineRule="auto"/>
      </w:pPr>
      <w:r>
        <w:rPr>
          <w:rFonts w:ascii="Times New Roman" w:hAnsi="Times New Roman"/>
          <w:b w:val="0"/>
          <w:i w:val="0"/>
          <w:sz w:val="24"/>
        </w:rPr>
        <w:t>6. Jiang KC, Zhou S, Hu Z, et al. Microscopic extrathyroidal extension does not affect the prognosis of patients with papillary thyroid carcinoma: a propensity-score matching analysis. Heliyon. 2024;10:e25077.</w:t>
      </w:r>
    </w:p>
    <w:p>
      <w:pPr>
        <w:spacing w:line="240" w:lineRule="auto"/>
      </w:pPr>
      <w:r>
        <w:rPr>
          <w:rFonts w:ascii="Times New Roman" w:hAnsi="Times New Roman"/>
          <w:b w:val="0"/>
          <w:i w:val="0"/>
          <w:sz w:val="24"/>
        </w:rPr>
        <w:t>7. Patti L, Cresta S, Curto O, et al. Impact of microscopic extrathyroidal extension on differentiated thyroid cancer post-surgical risk of recurrence: a retrospective analysis. J Endocrinol Invest. 2023;46:2157–2164.</w:t>
      </w:r>
    </w:p>
    <w:p>
      <w:pPr>
        <w:spacing w:line="240" w:lineRule="auto"/>
      </w:pPr>
      <w:r>
        <w:rPr>
          <w:rFonts w:ascii="Times New Roman" w:hAnsi="Times New Roman"/>
          <w:b w:val="0"/>
          <w:i w:val="0"/>
          <w:sz w:val="24"/>
        </w:rPr>
        <w:t>8. Bortz MD, Kuchta K, Winchester DJ, et al. Extrathyroidal extension predicts negative clinical outcomes in papillary thyroid cancer. Surgery. 2021;169:2–6.</w:t>
      </w:r>
    </w:p>
    <w:p>
      <w:pPr>
        <w:spacing w:line="240" w:lineRule="auto"/>
      </w:pPr>
      <w:r>
        <w:rPr>
          <w:rFonts w:ascii="Times New Roman" w:hAnsi="Times New Roman"/>
          <w:b w:val="0"/>
          <w:i w:val="0"/>
          <w:sz w:val="24"/>
        </w:rPr>
        <w:t>9. Randolph GW, Duh QY, Heller KS, et al. The prognostic significance of nodal metastases from papillary thyroid carcinoma can be stratified based on size and number of metastatic lymph nodes and extranodal extension. Thyroid. 2012;22(11):1144–1152.</w:t>
      </w:r>
    </w:p>
    <w:p>
      <w:pPr>
        <w:spacing w:line="240" w:lineRule="auto"/>
      </w:pPr>
      <w:r>
        <w:rPr>
          <w:rFonts w:ascii="Times New Roman" w:hAnsi="Times New Roman"/>
          <w:b w:val="0"/>
          <w:i w:val="0"/>
          <w:sz w:val="24"/>
        </w:rPr>
        <w:t>10. Tuttle RM, Morris LGT, Haugen BR, et al. Thyroid – differentiated and anaplastic carcinoma. In: Amin MB, Edge SB, Greene FL, et al., eds. AJCC Cancer Staging Manual. 8th ed. New York, NY: Springer; 2017.</w:t>
      </w:r>
    </w:p>
    <w:p>
      <w:pPr>
        <w:spacing w:line="240" w:lineRule="auto"/>
      </w:pPr>
      <w:r>
        <w:rPr>
          <w:rFonts w:ascii="Times New Roman" w:hAnsi="Times New Roman"/>
          <w:b w:val="0"/>
          <w:i w:val="0"/>
          <w:sz w:val="24"/>
        </w:rPr>
        <w:t>11. Xu X, Zhou Y, Su GY, et al. Iodine maps from dual-energy CT to predict extrathyroidal extension and recurrence in papillary thyroid cancer based on a radiomics approach. AJNR Am J Neuroradiol. 2022;43:1207–1214.</w:t>
      </w:r>
    </w:p>
    <w:p>
      <w:pPr>
        <w:spacing w:line="240" w:lineRule="auto"/>
      </w:pPr>
      <w:r>
        <w:rPr>
          <w:rFonts w:ascii="Times New Roman" w:hAnsi="Times New Roman"/>
          <w:b w:val="0"/>
          <w:i w:val="0"/>
          <w:sz w:val="24"/>
        </w:rPr>
        <w:t>12. Elicit. CT imaging for extrathyroidal extension in thyroid cancer: evidence synthesis report. Prepared for the present study; 2026. Unpublished supplemental evidence review.</w:t>
      </w:r>
    </w:p>
    <w:p>
      <w:r>
        <w:br w:type="page"/>
      </w:r>
    </w:p>
    <w:p/>
    <w:p>
      <w:pPr>
        <w:pStyle w:val="Heading1"/>
      </w:pPr>
      <w:r>
        <w:rPr>
          <w:rFonts w:ascii="Times New Roman" w:hAnsi="Times New Roman"/>
          <w:color w:val="000000"/>
        </w:rPr>
        <w:t>Tables</w:t>
      </w:r>
    </w:p>
    <w:p>
      <w:pPr>
        <w:spacing w:line="240" w:lineRule="auto"/>
      </w:pPr>
      <w:r>
        <w:rPr>
          <w:rFonts w:ascii="Times New Roman" w:hAnsi="Times New Roman"/>
          <w:b w:val="0"/>
          <w:i/>
          <w:sz w:val="24"/>
        </w:rPr>
        <w:t>Each table appears on its own page. Continuous variables compared by Kruskal–Wallis test; categorical variables by chi-square test (3 × k contingency table for Table 1).</w:t>
      </w:r>
    </w:p>
    <w:p>
      <w:r>
        <w:br w:type="page"/>
      </w:r>
    </w:p>
    <w:p>
      <w:pPr>
        <w:spacing w:line="240" w:lineRule="auto"/>
      </w:pPr>
      <w:r>
        <w:rPr>
          <w:rFonts w:ascii="Times New Roman" w:hAnsi="Times New Roman"/>
          <w:b/>
          <w:sz w:val="24"/>
        </w:rPr>
        <w:t xml:space="preserve">Table 1. </w:t>
      </w:r>
      <w:r>
        <w:rPr>
          <w:rFonts w:ascii="Times New Roman" w:hAnsi="Times New Roman"/>
          <w:sz w:val="24"/>
        </w:rPr>
        <w:t>Baseline characteristics by ETE group (N = 3,578).</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pPr>
            <w:r/>
            <w:r>
              <w:rPr>
                <w:rFonts w:ascii="Times New Roman" w:hAnsi="Times New Roman"/>
                <w:b/>
                <w:sz w:val="18"/>
              </w:rPr>
              <w:t>Characteristic</w:t>
            </w:r>
          </w:p>
        </w:tc>
        <w:tc>
          <w:tcPr>
            <w:tcW w:type="dxa" w:w="1560"/>
          </w:tcPr>
          <w:p>
            <w:pPr>
              <w:spacing w:line="240" w:lineRule="auto"/>
            </w:pPr>
            <w:r/>
            <w:r>
              <w:rPr>
                <w:rFonts w:ascii="Times New Roman" w:hAnsi="Times New Roman"/>
                <w:b/>
                <w:sz w:val="18"/>
              </w:rPr>
              <w:t>No/neg ETE (n=68)</w:t>
            </w:r>
          </w:p>
        </w:tc>
        <w:tc>
          <w:tcPr>
            <w:tcW w:type="dxa" w:w="1560"/>
          </w:tcPr>
          <w:p>
            <w:pPr>
              <w:spacing w:line="240" w:lineRule="auto"/>
            </w:pPr>
            <w:r/>
            <w:r>
              <w:rPr>
                <w:rFonts w:ascii="Times New Roman" w:hAnsi="Times New Roman"/>
                <w:b/>
                <w:sz w:val="18"/>
              </w:rPr>
              <w:t>Microscopic ETE (n=2,359)</w:t>
            </w:r>
          </w:p>
        </w:tc>
        <w:tc>
          <w:tcPr>
            <w:tcW w:type="dxa" w:w="1560"/>
          </w:tcPr>
          <w:p>
            <w:pPr>
              <w:spacing w:line="240" w:lineRule="auto"/>
            </w:pPr>
            <w:r/>
            <w:r>
              <w:rPr>
                <w:rFonts w:ascii="Times New Roman" w:hAnsi="Times New Roman"/>
                <w:b/>
                <w:sz w:val="18"/>
              </w:rPr>
              <w:t>Gross ETE (n=1,151)</w:t>
            </w:r>
          </w:p>
        </w:tc>
        <w:tc>
          <w:tcPr>
            <w:tcW w:type="dxa" w:w="1560"/>
          </w:tcPr>
          <w:p>
            <w:pPr>
              <w:spacing w:line="240" w:lineRule="auto"/>
            </w:pPr>
            <w:r/>
            <w:r>
              <w:rPr>
                <w:rFonts w:ascii="Times New Roman" w:hAnsi="Times New Roman"/>
                <w:b/>
                <w:sz w:val="18"/>
              </w:rPr>
              <w:t>Overall (n=3,578)</w:t>
            </w:r>
          </w:p>
        </w:tc>
        <w:tc>
          <w:tcPr>
            <w:tcW w:type="dxa" w:w="1560"/>
          </w:tcPr>
          <w:p>
            <w:pPr>
              <w:spacing w:line="240" w:lineRule="auto"/>
            </w:pPr>
            <w:r/>
            <w:r>
              <w:rPr>
                <w:rFonts w:ascii="Times New Roman" w:hAnsi="Times New Roman"/>
                <w:b/>
                <w:sz w:val="18"/>
              </w:rPr>
              <w:t>p</w:t>
            </w:r>
          </w:p>
        </w:tc>
      </w:tr>
      <w:tr>
        <w:tc>
          <w:tcPr>
            <w:tcW w:type="dxa" w:w="1560"/>
          </w:tcPr>
          <w:p>
            <w:pPr>
              <w:spacing w:line="240" w:lineRule="auto"/>
            </w:pPr>
            <w:r/>
            <w:r>
              <w:rPr>
                <w:rFonts w:ascii="Times New Roman" w:hAnsi="Times New Roman"/>
                <w:sz w:val="18"/>
              </w:rPr>
              <w:t>Demographics</w:t>
            </w:r>
          </w:p>
        </w:tc>
        <w:tc>
          <w:tcPr>
            <w:tcW w:type="dxa" w:w="1560"/>
          </w:tcPr>
          <w:p>
            <w:pPr>
              <w:spacing w:line="240" w:lineRule="auto"/>
            </w:pPr>
            <w:r/>
            <w:r>
              <w:rPr>
                <w:rFonts w:ascii="Times New Roman" w:hAnsi="Times New Roman"/>
                <w:sz w:val="18"/>
              </w:rPr>
            </w:r>
          </w:p>
        </w:tc>
        <w:tc>
          <w:tcPr>
            <w:tcW w:type="dxa" w:w="1560"/>
          </w:tcPr>
          <w:p>
            <w:pPr>
              <w:spacing w:line="240" w:lineRule="auto"/>
            </w:pPr>
            <w:r/>
            <w:r>
              <w:rPr>
                <w:rFonts w:ascii="Times New Roman" w:hAnsi="Times New Roman"/>
                <w:sz w:val="18"/>
              </w:rPr>
            </w:r>
          </w:p>
        </w:tc>
        <w:tc>
          <w:tcPr>
            <w:tcW w:type="dxa" w:w="1560"/>
          </w:tcPr>
          <w:p>
            <w:pPr>
              <w:spacing w:line="240" w:lineRule="auto"/>
            </w:pPr>
            <w:r/>
            <w:r>
              <w:rPr>
                <w:rFonts w:ascii="Times New Roman" w:hAnsi="Times New Roman"/>
                <w:sz w:val="18"/>
              </w:rPr>
            </w:r>
          </w:p>
        </w:tc>
        <w:tc>
          <w:tcPr>
            <w:tcW w:type="dxa" w:w="1560"/>
          </w:tcPr>
          <w:p>
            <w:pPr>
              <w:spacing w:line="240" w:lineRule="auto"/>
            </w:pPr>
            <w:r/>
            <w:r>
              <w:rPr>
                <w:rFonts w:ascii="Times New Roman" w:hAnsi="Times New Roman"/>
                <w:sz w:val="18"/>
              </w:rPr>
            </w:r>
          </w:p>
        </w:tc>
        <w:tc>
          <w:tcPr>
            <w:tcW w:type="dxa" w:w="1560"/>
          </w:tcPr>
          <w:p>
            <w:pPr>
              <w:spacing w:line="240" w:lineRule="auto"/>
            </w:pPr>
            <w:r/>
            <w:r>
              <w:rPr>
                <w:rFonts w:ascii="Times New Roman" w:hAnsi="Times New Roman"/>
                <w:sz w:val="18"/>
              </w:rPr>
            </w:r>
          </w:p>
        </w:tc>
      </w:tr>
      <w:tr>
        <w:tc>
          <w:tcPr>
            <w:tcW w:type="dxa" w:w="1560"/>
          </w:tcPr>
          <w:p>
            <w:pPr>
              <w:spacing w:line="240" w:lineRule="auto"/>
            </w:pPr>
            <w:r/>
            <w:r>
              <w:rPr>
                <w:rFonts w:ascii="Times New Roman" w:hAnsi="Times New Roman"/>
                <w:sz w:val="18"/>
              </w:rPr>
              <w:t>Age, y, median (IQR)</w:t>
            </w:r>
          </w:p>
        </w:tc>
        <w:tc>
          <w:tcPr>
            <w:tcW w:type="dxa" w:w="1560"/>
          </w:tcPr>
          <w:p>
            <w:pPr>
              <w:spacing w:line="240" w:lineRule="auto"/>
            </w:pPr>
            <w:r/>
            <w:r>
              <w:rPr>
                <w:rFonts w:ascii="Times New Roman" w:hAnsi="Times New Roman"/>
                <w:sz w:val="18"/>
              </w:rPr>
              <w:t>50.0 (36.8–58.0)</w:t>
            </w:r>
          </w:p>
        </w:tc>
        <w:tc>
          <w:tcPr>
            <w:tcW w:type="dxa" w:w="1560"/>
          </w:tcPr>
          <w:p>
            <w:pPr>
              <w:spacing w:line="240" w:lineRule="auto"/>
            </w:pPr>
            <w:r/>
            <w:r>
              <w:rPr>
                <w:rFonts w:ascii="Times New Roman" w:hAnsi="Times New Roman"/>
                <w:sz w:val="18"/>
              </w:rPr>
              <w:t>50.0 (38.0–62.0)</w:t>
            </w:r>
          </w:p>
        </w:tc>
        <w:tc>
          <w:tcPr>
            <w:tcW w:type="dxa" w:w="1560"/>
          </w:tcPr>
          <w:p>
            <w:pPr>
              <w:spacing w:line="240" w:lineRule="auto"/>
            </w:pPr>
            <w:r/>
            <w:r>
              <w:rPr>
                <w:rFonts w:ascii="Times New Roman" w:hAnsi="Times New Roman"/>
                <w:sz w:val="18"/>
              </w:rPr>
              <w:t>51.0 (39.0–64.0)</w:t>
            </w:r>
          </w:p>
        </w:tc>
        <w:tc>
          <w:tcPr>
            <w:tcW w:type="dxa" w:w="1560"/>
          </w:tcPr>
          <w:p>
            <w:pPr>
              <w:spacing w:line="240" w:lineRule="auto"/>
            </w:pPr>
            <w:r/>
            <w:r>
              <w:rPr>
                <w:rFonts w:ascii="Times New Roman" w:hAnsi="Times New Roman"/>
                <w:sz w:val="18"/>
              </w:rPr>
              <w:t>50.0 (38.0–63.0)</w:t>
            </w:r>
          </w:p>
        </w:tc>
        <w:tc>
          <w:tcPr>
            <w:tcW w:type="dxa" w:w="1560"/>
          </w:tcPr>
          <w:p>
            <w:pPr>
              <w:spacing w:line="240" w:lineRule="auto"/>
            </w:pPr>
            <w:r/>
            <w:r>
              <w:rPr>
                <w:rFonts w:ascii="Times New Roman" w:hAnsi="Times New Roman"/>
                <w:sz w:val="18"/>
              </w:rPr>
              <w:t>0.146</w:t>
            </w:r>
          </w:p>
        </w:tc>
      </w:tr>
      <w:tr>
        <w:tc>
          <w:tcPr>
            <w:tcW w:type="dxa" w:w="1560"/>
          </w:tcPr>
          <w:p>
            <w:pPr>
              <w:spacing w:line="240" w:lineRule="auto"/>
            </w:pPr>
            <w:r/>
            <w:r>
              <w:rPr>
                <w:rFonts w:ascii="Times New Roman" w:hAnsi="Times New Roman"/>
                <w:sz w:val="18"/>
              </w:rPr>
              <w:t>Female sex</w:t>
            </w:r>
          </w:p>
        </w:tc>
        <w:tc>
          <w:tcPr>
            <w:tcW w:type="dxa" w:w="1560"/>
          </w:tcPr>
          <w:p>
            <w:pPr>
              <w:spacing w:line="240" w:lineRule="auto"/>
            </w:pPr>
            <w:r/>
            <w:r>
              <w:rPr>
                <w:rFonts w:ascii="Times New Roman" w:hAnsi="Times New Roman"/>
                <w:sz w:val="18"/>
              </w:rPr>
              <w:t>51 (75.0%)</w:t>
            </w:r>
          </w:p>
        </w:tc>
        <w:tc>
          <w:tcPr>
            <w:tcW w:type="dxa" w:w="1560"/>
          </w:tcPr>
          <w:p>
            <w:pPr>
              <w:spacing w:line="240" w:lineRule="auto"/>
            </w:pPr>
            <w:r/>
            <w:r>
              <w:rPr>
                <w:rFonts w:ascii="Times New Roman" w:hAnsi="Times New Roman"/>
                <w:sz w:val="18"/>
              </w:rPr>
              <w:t>1,802 (76.4%)</w:t>
            </w:r>
          </w:p>
        </w:tc>
        <w:tc>
          <w:tcPr>
            <w:tcW w:type="dxa" w:w="1560"/>
          </w:tcPr>
          <w:p>
            <w:pPr>
              <w:spacing w:line="240" w:lineRule="auto"/>
            </w:pPr>
            <w:r/>
            <w:r>
              <w:rPr>
                <w:rFonts w:ascii="Times New Roman" w:hAnsi="Times New Roman"/>
                <w:sz w:val="18"/>
              </w:rPr>
              <w:t>801 (69.6%)</w:t>
            </w:r>
          </w:p>
        </w:tc>
        <w:tc>
          <w:tcPr>
            <w:tcW w:type="dxa" w:w="1560"/>
          </w:tcPr>
          <w:p>
            <w:pPr>
              <w:spacing w:line="240" w:lineRule="auto"/>
            </w:pPr>
            <w:r/>
            <w:r>
              <w:rPr>
                <w:rFonts w:ascii="Times New Roman" w:hAnsi="Times New Roman"/>
                <w:sz w:val="18"/>
              </w:rPr>
              <w:t>2,654 (74.2%)</w:t>
            </w:r>
          </w:p>
        </w:tc>
        <w:tc>
          <w:tcPr>
            <w:tcW w:type="dxa" w:w="1560"/>
          </w:tcPr>
          <w:p>
            <w:pPr>
              <w:spacing w:line="240" w:lineRule="auto"/>
            </w:pPr>
            <w:r/>
            <w:r>
              <w:rPr>
                <w:rFonts w:ascii="Times New Roman" w:hAnsi="Times New Roman"/>
                <w:sz w:val="18"/>
              </w:rPr>
              <w:t>&lt;0.001</w:t>
            </w:r>
          </w:p>
        </w:tc>
      </w:tr>
      <w:tr>
        <w:tc>
          <w:tcPr>
            <w:tcW w:type="dxa" w:w="1560"/>
          </w:tcPr>
          <w:p>
            <w:pPr>
              <w:spacing w:line="240" w:lineRule="auto"/>
            </w:pPr>
            <w:r/>
            <w:r>
              <w:rPr>
                <w:rFonts w:ascii="Times New Roman" w:hAnsi="Times New Roman"/>
                <w:sz w:val="18"/>
              </w:rPr>
              <w:t>Race: White</w:t>
            </w:r>
          </w:p>
        </w:tc>
        <w:tc>
          <w:tcPr>
            <w:tcW w:type="dxa" w:w="1560"/>
          </w:tcPr>
          <w:p>
            <w:pPr>
              <w:spacing w:line="240" w:lineRule="auto"/>
            </w:pPr>
            <w:r/>
            <w:r>
              <w:rPr>
                <w:rFonts w:ascii="Times New Roman" w:hAnsi="Times New Roman"/>
                <w:sz w:val="18"/>
              </w:rPr>
              <w:t>44 (64.7%)</w:t>
            </w:r>
          </w:p>
        </w:tc>
        <w:tc>
          <w:tcPr>
            <w:tcW w:type="dxa" w:w="1560"/>
          </w:tcPr>
          <w:p>
            <w:pPr>
              <w:spacing w:line="240" w:lineRule="auto"/>
            </w:pPr>
            <w:r/>
            <w:r>
              <w:rPr>
                <w:rFonts w:ascii="Times New Roman" w:hAnsi="Times New Roman"/>
                <w:sz w:val="18"/>
              </w:rPr>
              <w:t>1,381 (58.5%)</w:t>
            </w:r>
          </w:p>
        </w:tc>
        <w:tc>
          <w:tcPr>
            <w:tcW w:type="dxa" w:w="1560"/>
          </w:tcPr>
          <w:p>
            <w:pPr>
              <w:spacing w:line="240" w:lineRule="auto"/>
            </w:pPr>
            <w:r/>
            <w:r>
              <w:rPr>
                <w:rFonts w:ascii="Times New Roman" w:hAnsi="Times New Roman"/>
                <w:sz w:val="18"/>
              </w:rPr>
              <w:t>673 (58.5%)</w:t>
            </w:r>
          </w:p>
        </w:tc>
        <w:tc>
          <w:tcPr>
            <w:tcW w:type="dxa" w:w="1560"/>
          </w:tcPr>
          <w:p>
            <w:pPr>
              <w:spacing w:line="240" w:lineRule="auto"/>
            </w:pPr>
            <w:r/>
            <w:r>
              <w:rPr>
                <w:rFonts w:ascii="Times New Roman" w:hAnsi="Times New Roman"/>
                <w:sz w:val="18"/>
              </w:rPr>
              <w:t>2,098 (58.6%)</w:t>
            </w:r>
          </w:p>
        </w:tc>
        <w:tc>
          <w:tcPr>
            <w:tcW w:type="dxa" w:w="1560"/>
          </w:tcPr>
          <w:p>
            <w:pPr>
              <w:spacing w:line="240" w:lineRule="auto"/>
            </w:pPr>
            <w:r/>
            <w:r>
              <w:rPr>
                <w:rFonts w:ascii="Times New Roman" w:hAnsi="Times New Roman"/>
                <w:sz w:val="18"/>
              </w:rPr>
              <w:t>0.590</w:t>
            </w:r>
          </w:p>
        </w:tc>
      </w:tr>
      <w:tr>
        <w:tc>
          <w:tcPr>
            <w:tcW w:type="dxa" w:w="1560"/>
          </w:tcPr>
          <w:p>
            <w:pPr>
              <w:spacing w:line="240" w:lineRule="auto"/>
            </w:pPr>
            <w:r/>
            <w:r>
              <w:rPr>
                <w:rFonts w:ascii="Times New Roman" w:hAnsi="Times New Roman"/>
                <w:sz w:val="18"/>
              </w:rPr>
              <w:t>Race: Black/African American</w:t>
            </w:r>
          </w:p>
        </w:tc>
        <w:tc>
          <w:tcPr>
            <w:tcW w:type="dxa" w:w="1560"/>
          </w:tcPr>
          <w:p>
            <w:pPr>
              <w:spacing w:line="240" w:lineRule="auto"/>
            </w:pPr>
            <w:r/>
            <w:r>
              <w:rPr>
                <w:rFonts w:ascii="Times New Roman" w:hAnsi="Times New Roman"/>
                <w:sz w:val="18"/>
              </w:rPr>
              <w:t>12 (17.6%)</w:t>
            </w:r>
          </w:p>
        </w:tc>
        <w:tc>
          <w:tcPr>
            <w:tcW w:type="dxa" w:w="1560"/>
          </w:tcPr>
          <w:p>
            <w:pPr>
              <w:spacing w:line="240" w:lineRule="auto"/>
            </w:pPr>
            <w:r/>
            <w:r>
              <w:rPr>
                <w:rFonts w:ascii="Times New Roman" w:hAnsi="Times New Roman"/>
                <w:sz w:val="18"/>
              </w:rPr>
              <w:t>587 (24.9%)</w:t>
            </w:r>
          </w:p>
        </w:tc>
        <w:tc>
          <w:tcPr>
            <w:tcW w:type="dxa" w:w="1560"/>
          </w:tcPr>
          <w:p>
            <w:pPr>
              <w:spacing w:line="240" w:lineRule="auto"/>
            </w:pPr>
            <w:r/>
            <w:r>
              <w:rPr>
                <w:rFonts w:ascii="Times New Roman" w:hAnsi="Times New Roman"/>
                <w:sz w:val="18"/>
              </w:rPr>
              <w:t>280 (24.3%)</w:t>
            </w:r>
          </w:p>
        </w:tc>
        <w:tc>
          <w:tcPr>
            <w:tcW w:type="dxa" w:w="1560"/>
          </w:tcPr>
          <w:p>
            <w:pPr>
              <w:spacing w:line="240" w:lineRule="auto"/>
            </w:pPr>
            <w:r/>
            <w:r>
              <w:rPr>
                <w:rFonts w:ascii="Times New Roman" w:hAnsi="Times New Roman"/>
                <w:sz w:val="18"/>
              </w:rPr>
              <w:t>879 (24.6%)</w:t>
            </w:r>
          </w:p>
        </w:tc>
        <w:tc>
          <w:tcPr>
            <w:tcW w:type="dxa" w:w="1560"/>
          </w:tcPr>
          <w:p>
            <w:pPr>
              <w:spacing w:line="240" w:lineRule="auto"/>
            </w:pPr>
            <w:r/>
            <w:r>
              <w:rPr>
                <w:rFonts w:ascii="Times New Roman" w:hAnsi="Times New Roman"/>
                <w:sz w:val="18"/>
              </w:rPr>
              <w:t>0.383</w:t>
            </w:r>
          </w:p>
        </w:tc>
      </w:tr>
      <w:tr>
        <w:tc>
          <w:tcPr>
            <w:tcW w:type="dxa" w:w="1560"/>
          </w:tcPr>
          <w:p>
            <w:pPr>
              <w:spacing w:line="240" w:lineRule="auto"/>
            </w:pPr>
            <w:r/>
            <w:r>
              <w:rPr>
                <w:rFonts w:ascii="Times New Roman" w:hAnsi="Times New Roman"/>
                <w:sz w:val="18"/>
              </w:rPr>
              <w:t>Race: Asian</w:t>
            </w:r>
          </w:p>
        </w:tc>
        <w:tc>
          <w:tcPr>
            <w:tcW w:type="dxa" w:w="1560"/>
          </w:tcPr>
          <w:p>
            <w:pPr>
              <w:spacing w:line="240" w:lineRule="auto"/>
            </w:pPr>
            <w:r/>
            <w:r>
              <w:rPr>
                <w:rFonts w:ascii="Times New Roman" w:hAnsi="Times New Roman"/>
                <w:sz w:val="18"/>
              </w:rPr>
              <w:t>4 (5.9%)</w:t>
            </w:r>
          </w:p>
        </w:tc>
        <w:tc>
          <w:tcPr>
            <w:tcW w:type="dxa" w:w="1560"/>
          </w:tcPr>
          <w:p>
            <w:pPr>
              <w:spacing w:line="240" w:lineRule="auto"/>
            </w:pPr>
            <w:r/>
            <w:r>
              <w:rPr>
                <w:rFonts w:ascii="Times New Roman" w:hAnsi="Times New Roman"/>
                <w:sz w:val="18"/>
              </w:rPr>
              <w:t>150 (6.4%)</w:t>
            </w:r>
          </w:p>
        </w:tc>
        <w:tc>
          <w:tcPr>
            <w:tcW w:type="dxa" w:w="1560"/>
          </w:tcPr>
          <w:p>
            <w:pPr>
              <w:spacing w:line="240" w:lineRule="auto"/>
            </w:pPr>
            <w:r/>
            <w:r>
              <w:rPr>
                <w:rFonts w:ascii="Times New Roman" w:hAnsi="Times New Roman"/>
                <w:sz w:val="18"/>
              </w:rPr>
              <w:t>88 (7.6%)</w:t>
            </w:r>
          </w:p>
        </w:tc>
        <w:tc>
          <w:tcPr>
            <w:tcW w:type="dxa" w:w="1560"/>
          </w:tcPr>
          <w:p>
            <w:pPr>
              <w:spacing w:line="240" w:lineRule="auto"/>
            </w:pPr>
            <w:r/>
            <w:r>
              <w:rPr>
                <w:rFonts w:ascii="Times New Roman" w:hAnsi="Times New Roman"/>
                <w:sz w:val="18"/>
              </w:rPr>
              <w:t>242 (6.8%)</w:t>
            </w:r>
          </w:p>
        </w:tc>
        <w:tc>
          <w:tcPr>
            <w:tcW w:type="dxa" w:w="1560"/>
          </w:tcPr>
          <w:p>
            <w:pPr>
              <w:spacing w:line="240" w:lineRule="auto"/>
            </w:pPr>
            <w:r/>
            <w:r>
              <w:rPr>
                <w:rFonts w:ascii="Times New Roman" w:hAnsi="Times New Roman"/>
                <w:sz w:val="18"/>
              </w:rPr>
              <w:t>0.347</w:t>
            </w:r>
          </w:p>
        </w:tc>
      </w:tr>
      <w:tr>
        <w:tc>
          <w:tcPr>
            <w:tcW w:type="dxa" w:w="1560"/>
          </w:tcPr>
          <w:p>
            <w:pPr>
              <w:spacing w:line="240" w:lineRule="auto"/>
            </w:pPr>
            <w:r/>
            <w:r>
              <w:rPr>
                <w:rFonts w:ascii="Times New Roman" w:hAnsi="Times New Roman"/>
                <w:sz w:val="18"/>
              </w:rPr>
              <w:t>Race: Other/Unknown</w:t>
            </w:r>
          </w:p>
        </w:tc>
        <w:tc>
          <w:tcPr>
            <w:tcW w:type="dxa" w:w="1560"/>
          </w:tcPr>
          <w:p>
            <w:pPr>
              <w:spacing w:line="240" w:lineRule="auto"/>
            </w:pPr>
            <w:r/>
            <w:r>
              <w:rPr>
                <w:rFonts w:ascii="Times New Roman" w:hAnsi="Times New Roman"/>
                <w:sz w:val="18"/>
              </w:rPr>
              <w:t>8 (11.8%)</w:t>
            </w:r>
          </w:p>
        </w:tc>
        <w:tc>
          <w:tcPr>
            <w:tcW w:type="dxa" w:w="1560"/>
          </w:tcPr>
          <w:p>
            <w:pPr>
              <w:spacing w:line="240" w:lineRule="auto"/>
            </w:pPr>
            <w:r/>
            <w:r>
              <w:rPr>
                <w:rFonts w:ascii="Times New Roman" w:hAnsi="Times New Roman"/>
                <w:sz w:val="18"/>
              </w:rPr>
              <w:t>241 (10.2%)</w:t>
            </w:r>
          </w:p>
        </w:tc>
        <w:tc>
          <w:tcPr>
            <w:tcW w:type="dxa" w:w="1560"/>
          </w:tcPr>
          <w:p>
            <w:pPr>
              <w:spacing w:line="240" w:lineRule="auto"/>
            </w:pPr>
            <w:r/>
            <w:r>
              <w:rPr>
                <w:rFonts w:ascii="Times New Roman" w:hAnsi="Times New Roman"/>
                <w:sz w:val="18"/>
              </w:rPr>
              <w:t>110 (9.6%)</w:t>
            </w:r>
          </w:p>
        </w:tc>
        <w:tc>
          <w:tcPr>
            <w:tcW w:type="dxa" w:w="1560"/>
          </w:tcPr>
          <w:p>
            <w:pPr>
              <w:spacing w:line="240" w:lineRule="auto"/>
            </w:pPr>
            <w:r/>
            <w:r>
              <w:rPr>
                <w:rFonts w:ascii="Times New Roman" w:hAnsi="Times New Roman"/>
                <w:sz w:val="18"/>
              </w:rPr>
              <w:t>359 (10.0%)</w:t>
            </w:r>
          </w:p>
        </w:tc>
        <w:tc>
          <w:tcPr>
            <w:tcW w:type="dxa" w:w="1560"/>
          </w:tcPr>
          <w:p>
            <w:pPr>
              <w:spacing w:line="240" w:lineRule="auto"/>
            </w:pPr>
            <w:r/>
            <w:r>
              <w:rPr>
                <w:rFonts w:ascii="Times New Roman" w:hAnsi="Times New Roman"/>
                <w:sz w:val="18"/>
              </w:rPr>
              <w:t>0.740</w:t>
            </w:r>
          </w:p>
        </w:tc>
      </w:tr>
      <w:tr>
        <w:tc>
          <w:tcPr>
            <w:tcW w:type="dxa" w:w="1560"/>
          </w:tcPr>
          <w:p>
            <w:pPr>
              <w:spacing w:line="240" w:lineRule="auto"/>
            </w:pPr>
            <w:r/>
            <w:r>
              <w:rPr>
                <w:rFonts w:ascii="Times New Roman" w:hAnsi="Times New Roman"/>
                <w:sz w:val="18"/>
              </w:rPr>
              <w:t>BMI, kg/m², median (IQR)</w:t>
            </w:r>
          </w:p>
        </w:tc>
        <w:tc>
          <w:tcPr>
            <w:tcW w:type="dxa" w:w="1560"/>
          </w:tcPr>
          <w:p>
            <w:pPr>
              <w:spacing w:line="240" w:lineRule="auto"/>
            </w:pPr>
            <w:r/>
            <w:r>
              <w:rPr>
                <w:rFonts w:ascii="Times New Roman" w:hAnsi="Times New Roman"/>
                <w:sz w:val="18"/>
              </w:rPr>
              <w:t>25.0 (23.9–30.4)</w:t>
            </w:r>
          </w:p>
        </w:tc>
        <w:tc>
          <w:tcPr>
            <w:tcW w:type="dxa" w:w="1560"/>
          </w:tcPr>
          <w:p>
            <w:pPr>
              <w:spacing w:line="240" w:lineRule="auto"/>
            </w:pPr>
            <w:r/>
            <w:r>
              <w:rPr>
                <w:rFonts w:ascii="Times New Roman" w:hAnsi="Times New Roman"/>
                <w:sz w:val="18"/>
              </w:rPr>
              <w:t>28.5 (24.6–34.1)</w:t>
            </w:r>
          </w:p>
        </w:tc>
        <w:tc>
          <w:tcPr>
            <w:tcW w:type="dxa" w:w="1560"/>
          </w:tcPr>
          <w:p>
            <w:pPr>
              <w:spacing w:line="240" w:lineRule="auto"/>
            </w:pPr>
            <w:r/>
            <w:r>
              <w:rPr>
                <w:rFonts w:ascii="Times New Roman" w:hAnsi="Times New Roman"/>
                <w:sz w:val="18"/>
              </w:rPr>
              <w:t>28.6 (24.3–33.3)</w:t>
            </w:r>
          </w:p>
        </w:tc>
        <w:tc>
          <w:tcPr>
            <w:tcW w:type="dxa" w:w="1560"/>
          </w:tcPr>
          <w:p>
            <w:pPr>
              <w:spacing w:line="240" w:lineRule="auto"/>
            </w:pPr>
            <w:r/>
            <w:r>
              <w:rPr>
                <w:rFonts w:ascii="Times New Roman" w:hAnsi="Times New Roman"/>
                <w:sz w:val="18"/>
              </w:rPr>
              <w:t>28.5 (24.4–34.0)</w:t>
            </w:r>
          </w:p>
        </w:tc>
        <w:tc>
          <w:tcPr>
            <w:tcW w:type="dxa" w:w="1560"/>
          </w:tcPr>
          <w:p>
            <w:pPr>
              <w:spacing w:line="240" w:lineRule="auto"/>
            </w:pPr>
            <w:r/>
            <w:r>
              <w:rPr>
                <w:rFonts w:ascii="Times New Roman" w:hAnsi="Times New Roman"/>
                <w:sz w:val="18"/>
              </w:rPr>
              <w:t>0.427</w:t>
            </w:r>
          </w:p>
        </w:tc>
      </w:tr>
      <w:tr>
        <w:tc>
          <w:tcPr>
            <w:tcW w:type="dxa" w:w="1560"/>
          </w:tcPr>
          <w:p>
            <w:pPr>
              <w:spacing w:line="240" w:lineRule="auto"/>
            </w:pPr>
            <w:r/>
            <w:r>
              <w:rPr>
                <w:rFonts w:ascii="Times New Roman" w:hAnsi="Times New Roman"/>
                <w:sz w:val="18"/>
              </w:rPr>
              <w:t>Tumor characteristics</w:t>
            </w:r>
          </w:p>
        </w:tc>
        <w:tc>
          <w:tcPr>
            <w:tcW w:type="dxa" w:w="1560"/>
          </w:tcPr>
          <w:p>
            <w:pPr>
              <w:spacing w:line="240" w:lineRule="auto"/>
            </w:pPr>
            <w:r/>
            <w:r>
              <w:rPr>
                <w:rFonts w:ascii="Times New Roman" w:hAnsi="Times New Roman"/>
                <w:sz w:val="18"/>
              </w:rPr>
            </w:r>
          </w:p>
        </w:tc>
        <w:tc>
          <w:tcPr>
            <w:tcW w:type="dxa" w:w="1560"/>
          </w:tcPr>
          <w:p>
            <w:pPr>
              <w:spacing w:line="240" w:lineRule="auto"/>
            </w:pPr>
            <w:r/>
            <w:r>
              <w:rPr>
                <w:rFonts w:ascii="Times New Roman" w:hAnsi="Times New Roman"/>
                <w:sz w:val="18"/>
              </w:rPr>
            </w:r>
          </w:p>
        </w:tc>
        <w:tc>
          <w:tcPr>
            <w:tcW w:type="dxa" w:w="1560"/>
          </w:tcPr>
          <w:p>
            <w:pPr>
              <w:spacing w:line="240" w:lineRule="auto"/>
            </w:pPr>
            <w:r/>
            <w:r>
              <w:rPr>
                <w:rFonts w:ascii="Times New Roman" w:hAnsi="Times New Roman"/>
                <w:sz w:val="18"/>
              </w:rPr>
            </w:r>
          </w:p>
        </w:tc>
        <w:tc>
          <w:tcPr>
            <w:tcW w:type="dxa" w:w="1560"/>
          </w:tcPr>
          <w:p>
            <w:pPr>
              <w:spacing w:line="240" w:lineRule="auto"/>
            </w:pPr>
            <w:r/>
            <w:r>
              <w:rPr>
                <w:rFonts w:ascii="Times New Roman" w:hAnsi="Times New Roman"/>
                <w:sz w:val="18"/>
              </w:rPr>
            </w:r>
          </w:p>
        </w:tc>
        <w:tc>
          <w:tcPr>
            <w:tcW w:type="dxa" w:w="1560"/>
          </w:tcPr>
          <w:p>
            <w:pPr>
              <w:spacing w:line="240" w:lineRule="auto"/>
            </w:pPr>
            <w:r/>
            <w:r>
              <w:rPr>
                <w:rFonts w:ascii="Times New Roman" w:hAnsi="Times New Roman"/>
                <w:sz w:val="18"/>
              </w:rPr>
            </w:r>
          </w:p>
        </w:tc>
      </w:tr>
      <w:tr>
        <w:tc>
          <w:tcPr>
            <w:tcW w:type="dxa" w:w="1560"/>
          </w:tcPr>
          <w:p>
            <w:pPr>
              <w:spacing w:line="240" w:lineRule="auto"/>
            </w:pPr>
            <w:r/>
            <w:r>
              <w:rPr>
                <w:rFonts w:ascii="Times New Roman" w:hAnsi="Times New Roman"/>
                <w:sz w:val="18"/>
              </w:rPr>
              <w:t>Tumor size, cm, median (IQR)</w:t>
            </w:r>
          </w:p>
        </w:tc>
        <w:tc>
          <w:tcPr>
            <w:tcW w:type="dxa" w:w="1560"/>
          </w:tcPr>
          <w:p>
            <w:pPr>
              <w:spacing w:line="240" w:lineRule="auto"/>
            </w:pPr>
            <w:r/>
            <w:r>
              <w:rPr>
                <w:rFonts w:ascii="Times New Roman" w:hAnsi="Times New Roman"/>
                <w:sz w:val="18"/>
              </w:rPr>
              <w:t>1.2 (0.5–2.5)</w:t>
            </w:r>
          </w:p>
        </w:tc>
        <w:tc>
          <w:tcPr>
            <w:tcW w:type="dxa" w:w="1560"/>
          </w:tcPr>
          <w:p>
            <w:pPr>
              <w:spacing w:line="240" w:lineRule="auto"/>
            </w:pPr>
            <w:r/>
            <w:r>
              <w:rPr>
                <w:rFonts w:ascii="Times New Roman" w:hAnsi="Times New Roman"/>
                <w:sz w:val="18"/>
              </w:rPr>
              <w:t>1.5 (0.7–2.6)</w:t>
            </w:r>
          </w:p>
        </w:tc>
        <w:tc>
          <w:tcPr>
            <w:tcW w:type="dxa" w:w="1560"/>
          </w:tcPr>
          <w:p>
            <w:pPr>
              <w:spacing w:line="240" w:lineRule="auto"/>
            </w:pPr>
            <w:r/>
            <w:r>
              <w:rPr>
                <w:rFonts w:ascii="Times New Roman" w:hAnsi="Times New Roman"/>
                <w:sz w:val="18"/>
              </w:rPr>
              <w:t>2.1 (1.1–4.0)</w:t>
            </w:r>
          </w:p>
        </w:tc>
        <w:tc>
          <w:tcPr>
            <w:tcW w:type="dxa" w:w="1560"/>
          </w:tcPr>
          <w:p>
            <w:pPr>
              <w:spacing w:line="240" w:lineRule="auto"/>
            </w:pPr>
            <w:r/>
            <w:r>
              <w:rPr>
                <w:rFonts w:ascii="Times New Roman" w:hAnsi="Times New Roman"/>
                <w:sz w:val="18"/>
              </w:rPr>
              <w:t>1.6 (0.8–3.0)</w:t>
            </w:r>
          </w:p>
        </w:tc>
        <w:tc>
          <w:tcPr>
            <w:tcW w:type="dxa" w:w="1560"/>
          </w:tcPr>
          <w:p>
            <w:pPr>
              <w:spacing w:line="240" w:lineRule="auto"/>
            </w:pPr>
            <w:r/>
            <w:r>
              <w:rPr>
                <w:rFonts w:ascii="Times New Roman" w:hAnsi="Times New Roman"/>
                <w:sz w:val="18"/>
              </w:rPr>
              <w:t>&lt;0.001</w:t>
            </w:r>
          </w:p>
        </w:tc>
      </w:tr>
      <w:tr>
        <w:tc>
          <w:tcPr>
            <w:tcW w:type="dxa" w:w="1560"/>
          </w:tcPr>
          <w:p>
            <w:pPr>
              <w:spacing w:line="240" w:lineRule="auto"/>
            </w:pPr>
            <w:r/>
            <w:r>
              <w:rPr>
                <w:rFonts w:ascii="Times New Roman" w:hAnsi="Times New Roman"/>
                <w:sz w:val="18"/>
              </w:rPr>
              <w:t>Multifocal disease</w:t>
            </w:r>
          </w:p>
        </w:tc>
        <w:tc>
          <w:tcPr>
            <w:tcW w:type="dxa" w:w="1560"/>
          </w:tcPr>
          <w:p>
            <w:pPr>
              <w:spacing w:line="240" w:lineRule="auto"/>
            </w:pPr>
            <w:r/>
            <w:r>
              <w:rPr>
                <w:rFonts w:ascii="Times New Roman" w:hAnsi="Times New Roman"/>
                <w:sz w:val="18"/>
              </w:rPr>
              <w:t>14 (20.6%)</w:t>
            </w:r>
          </w:p>
        </w:tc>
        <w:tc>
          <w:tcPr>
            <w:tcW w:type="dxa" w:w="1560"/>
          </w:tcPr>
          <w:p>
            <w:pPr>
              <w:spacing w:line="240" w:lineRule="auto"/>
            </w:pPr>
            <w:r/>
            <w:r>
              <w:rPr>
                <w:rFonts w:ascii="Times New Roman" w:hAnsi="Times New Roman"/>
                <w:sz w:val="18"/>
              </w:rPr>
              <w:t>814 (34.5%)</w:t>
            </w:r>
          </w:p>
        </w:tc>
        <w:tc>
          <w:tcPr>
            <w:tcW w:type="dxa" w:w="1560"/>
          </w:tcPr>
          <w:p>
            <w:pPr>
              <w:spacing w:line="240" w:lineRule="auto"/>
            </w:pPr>
            <w:r/>
            <w:r>
              <w:rPr>
                <w:rFonts w:ascii="Times New Roman" w:hAnsi="Times New Roman"/>
                <w:sz w:val="18"/>
              </w:rPr>
              <w:t>453 (39.4%)</w:t>
            </w:r>
          </w:p>
        </w:tc>
        <w:tc>
          <w:tcPr>
            <w:tcW w:type="dxa" w:w="1560"/>
          </w:tcPr>
          <w:p>
            <w:pPr>
              <w:spacing w:line="240" w:lineRule="auto"/>
            </w:pPr>
            <w:r/>
            <w:r>
              <w:rPr>
                <w:rFonts w:ascii="Times New Roman" w:hAnsi="Times New Roman"/>
                <w:sz w:val="18"/>
              </w:rPr>
              <w:t>1,281 (35.8%)</w:t>
            </w:r>
          </w:p>
        </w:tc>
        <w:tc>
          <w:tcPr>
            <w:tcW w:type="dxa" w:w="1560"/>
          </w:tcPr>
          <w:p>
            <w:pPr>
              <w:spacing w:line="240" w:lineRule="auto"/>
            </w:pPr>
            <w:r/>
            <w:r>
              <w:rPr>
                <w:rFonts w:ascii="Times New Roman" w:hAnsi="Times New Roman"/>
                <w:sz w:val="18"/>
              </w:rPr>
              <w:t>&lt;0.001</w:t>
            </w:r>
          </w:p>
        </w:tc>
      </w:tr>
      <w:tr>
        <w:tc>
          <w:tcPr>
            <w:tcW w:type="dxa" w:w="1560"/>
          </w:tcPr>
          <w:p>
            <w:pPr>
              <w:spacing w:line="240" w:lineRule="auto"/>
            </w:pPr>
            <w:r/>
            <w:r>
              <w:rPr>
                <w:rFonts w:ascii="Times New Roman" w:hAnsi="Times New Roman"/>
                <w:sz w:val="18"/>
              </w:rPr>
              <w:t>Bilateral disease</w:t>
            </w:r>
          </w:p>
        </w:tc>
        <w:tc>
          <w:tcPr>
            <w:tcW w:type="dxa" w:w="1560"/>
          </w:tcPr>
          <w:p>
            <w:pPr>
              <w:spacing w:line="240" w:lineRule="auto"/>
            </w:pPr>
            <w:r/>
            <w:r>
              <w:rPr>
                <w:rFonts w:ascii="Times New Roman" w:hAnsi="Times New Roman"/>
                <w:sz w:val="18"/>
              </w:rPr>
              <w:t>5 (7.4%)</w:t>
            </w:r>
          </w:p>
        </w:tc>
        <w:tc>
          <w:tcPr>
            <w:tcW w:type="dxa" w:w="1560"/>
          </w:tcPr>
          <w:p>
            <w:pPr>
              <w:spacing w:line="240" w:lineRule="auto"/>
            </w:pPr>
            <w:r/>
            <w:r>
              <w:rPr>
                <w:rFonts w:ascii="Times New Roman" w:hAnsi="Times New Roman"/>
                <w:sz w:val="18"/>
              </w:rPr>
              <w:t>488 (20.7%)</w:t>
            </w:r>
          </w:p>
        </w:tc>
        <w:tc>
          <w:tcPr>
            <w:tcW w:type="dxa" w:w="1560"/>
          </w:tcPr>
          <w:p>
            <w:pPr>
              <w:spacing w:line="240" w:lineRule="auto"/>
            </w:pPr>
            <w:r/>
            <w:r>
              <w:rPr>
                <w:rFonts w:ascii="Times New Roman" w:hAnsi="Times New Roman"/>
                <w:sz w:val="18"/>
              </w:rPr>
              <w:t>322 (28.0%)</w:t>
            </w:r>
          </w:p>
        </w:tc>
        <w:tc>
          <w:tcPr>
            <w:tcW w:type="dxa" w:w="1560"/>
          </w:tcPr>
          <w:p>
            <w:pPr>
              <w:spacing w:line="240" w:lineRule="auto"/>
            </w:pPr>
            <w:r/>
            <w:r>
              <w:rPr>
                <w:rFonts w:ascii="Times New Roman" w:hAnsi="Times New Roman"/>
                <w:sz w:val="18"/>
              </w:rPr>
              <w:t>815 (22.8%)</w:t>
            </w:r>
          </w:p>
        </w:tc>
        <w:tc>
          <w:tcPr>
            <w:tcW w:type="dxa" w:w="1560"/>
          </w:tcPr>
          <w:p>
            <w:pPr>
              <w:spacing w:line="240" w:lineRule="auto"/>
            </w:pPr>
            <w:r/>
            <w:r>
              <w:rPr>
                <w:rFonts w:ascii="Times New Roman" w:hAnsi="Times New Roman"/>
                <w:sz w:val="18"/>
              </w:rPr>
              <w:t>&lt;0.001</w:t>
            </w:r>
          </w:p>
        </w:tc>
      </w:tr>
      <w:tr>
        <w:tc>
          <w:tcPr>
            <w:tcW w:type="dxa" w:w="1560"/>
          </w:tcPr>
          <w:p>
            <w:pPr>
              <w:spacing w:line="240" w:lineRule="auto"/>
            </w:pPr>
            <w:r/>
            <w:r>
              <w:rPr>
                <w:rFonts w:ascii="Times New Roman" w:hAnsi="Times New Roman"/>
                <w:sz w:val="18"/>
              </w:rPr>
              <w:t>Margin involved</w:t>
            </w:r>
          </w:p>
        </w:tc>
        <w:tc>
          <w:tcPr>
            <w:tcW w:type="dxa" w:w="1560"/>
          </w:tcPr>
          <w:p>
            <w:pPr>
              <w:spacing w:line="240" w:lineRule="auto"/>
            </w:pPr>
            <w:r/>
            <w:r>
              <w:rPr>
                <w:rFonts w:ascii="Times New Roman" w:hAnsi="Times New Roman"/>
                <w:sz w:val="18"/>
              </w:rPr>
              <w:t>15 (22.1%)</w:t>
            </w:r>
          </w:p>
        </w:tc>
        <w:tc>
          <w:tcPr>
            <w:tcW w:type="dxa" w:w="1560"/>
          </w:tcPr>
          <w:p>
            <w:pPr>
              <w:spacing w:line="240" w:lineRule="auto"/>
            </w:pPr>
            <w:r/>
            <w:r>
              <w:rPr>
                <w:rFonts w:ascii="Times New Roman" w:hAnsi="Times New Roman"/>
                <w:sz w:val="18"/>
              </w:rPr>
              <w:t>192 (8.1%)</w:t>
            </w:r>
          </w:p>
        </w:tc>
        <w:tc>
          <w:tcPr>
            <w:tcW w:type="dxa" w:w="1560"/>
          </w:tcPr>
          <w:p>
            <w:pPr>
              <w:spacing w:line="240" w:lineRule="auto"/>
            </w:pPr>
            <w:r/>
            <w:r>
              <w:rPr>
                <w:rFonts w:ascii="Times New Roman" w:hAnsi="Times New Roman"/>
                <w:sz w:val="18"/>
              </w:rPr>
              <w:t>302 (26.2%)</w:t>
            </w:r>
          </w:p>
        </w:tc>
        <w:tc>
          <w:tcPr>
            <w:tcW w:type="dxa" w:w="1560"/>
          </w:tcPr>
          <w:p>
            <w:pPr>
              <w:spacing w:line="240" w:lineRule="auto"/>
            </w:pPr>
            <w:r/>
            <w:r>
              <w:rPr>
                <w:rFonts w:ascii="Times New Roman" w:hAnsi="Times New Roman"/>
                <w:sz w:val="18"/>
              </w:rPr>
              <w:t>509 (14.2%)</w:t>
            </w:r>
          </w:p>
        </w:tc>
        <w:tc>
          <w:tcPr>
            <w:tcW w:type="dxa" w:w="1560"/>
          </w:tcPr>
          <w:p>
            <w:pPr>
              <w:spacing w:line="240" w:lineRule="auto"/>
            </w:pPr>
            <w:r/>
            <w:r>
              <w:rPr>
                <w:rFonts w:ascii="Times New Roman" w:hAnsi="Times New Roman"/>
                <w:sz w:val="18"/>
              </w:rPr>
              <w:t>&lt;0.001</w:t>
            </w:r>
          </w:p>
        </w:tc>
      </w:tr>
      <w:tr>
        <w:tc>
          <w:tcPr>
            <w:tcW w:type="dxa" w:w="1560"/>
          </w:tcPr>
          <w:p>
            <w:pPr>
              <w:spacing w:line="240" w:lineRule="auto"/>
            </w:pPr>
            <w:r/>
            <w:r>
              <w:rPr>
                <w:rFonts w:ascii="Times New Roman" w:hAnsi="Times New Roman"/>
                <w:sz w:val="18"/>
              </w:rPr>
              <w:t>Closest margin, mm, median (IQR)</w:t>
            </w:r>
          </w:p>
        </w:tc>
        <w:tc>
          <w:tcPr>
            <w:tcW w:type="dxa" w:w="1560"/>
          </w:tcPr>
          <w:p>
            <w:pPr>
              <w:spacing w:line="240" w:lineRule="auto"/>
            </w:pPr>
            <w:r/>
            <w:r>
              <w:rPr>
                <w:rFonts w:ascii="Times New Roman" w:hAnsi="Times New Roman"/>
                <w:sz w:val="18"/>
              </w:rPr>
              <w:t>1.00 (0.75–1.25)</w:t>
            </w:r>
          </w:p>
        </w:tc>
        <w:tc>
          <w:tcPr>
            <w:tcW w:type="dxa" w:w="1560"/>
          </w:tcPr>
          <w:p>
            <w:pPr>
              <w:spacing w:line="240" w:lineRule="auto"/>
            </w:pPr>
            <w:r/>
            <w:r>
              <w:rPr>
                <w:rFonts w:ascii="Times New Roman" w:hAnsi="Times New Roman"/>
                <w:sz w:val="18"/>
              </w:rPr>
              <w:t>1.00 (0.50–1.50)</w:t>
            </w:r>
          </w:p>
        </w:tc>
        <w:tc>
          <w:tcPr>
            <w:tcW w:type="dxa" w:w="1560"/>
          </w:tcPr>
          <w:p>
            <w:pPr>
              <w:spacing w:line="240" w:lineRule="auto"/>
            </w:pPr>
            <w:r/>
            <w:r>
              <w:rPr>
                <w:rFonts w:ascii="Times New Roman" w:hAnsi="Times New Roman"/>
                <w:sz w:val="18"/>
              </w:rPr>
              <w:t>1.00 (0.20–1.00)</w:t>
            </w:r>
          </w:p>
        </w:tc>
        <w:tc>
          <w:tcPr>
            <w:tcW w:type="dxa" w:w="1560"/>
          </w:tcPr>
          <w:p>
            <w:pPr>
              <w:spacing w:line="240" w:lineRule="auto"/>
            </w:pPr>
            <w:r/>
            <w:r>
              <w:rPr>
                <w:rFonts w:ascii="Times New Roman" w:hAnsi="Times New Roman"/>
                <w:sz w:val="18"/>
              </w:rPr>
              <w:t>1.00 (0.32–1.00)</w:t>
            </w:r>
          </w:p>
        </w:tc>
        <w:tc>
          <w:tcPr>
            <w:tcW w:type="dxa" w:w="1560"/>
          </w:tcPr>
          <w:p>
            <w:pPr>
              <w:spacing w:line="240" w:lineRule="auto"/>
            </w:pPr>
            <w:r/>
            <w:r>
              <w:rPr>
                <w:rFonts w:ascii="Times New Roman" w:hAnsi="Times New Roman"/>
                <w:sz w:val="18"/>
              </w:rPr>
              <w:t>&lt;0.001</w:t>
            </w:r>
          </w:p>
        </w:tc>
      </w:tr>
      <w:tr>
        <w:tc>
          <w:tcPr>
            <w:tcW w:type="dxa" w:w="1560"/>
          </w:tcPr>
          <w:p>
            <w:pPr>
              <w:spacing w:line="240" w:lineRule="auto"/>
            </w:pPr>
            <w:r/>
            <w:r>
              <w:rPr>
                <w:rFonts w:ascii="Times New Roman" w:hAnsi="Times New Roman"/>
                <w:sz w:val="18"/>
              </w:rPr>
              <w:t>Aggressive variant</w:t>
            </w:r>
          </w:p>
        </w:tc>
        <w:tc>
          <w:tcPr>
            <w:tcW w:type="dxa" w:w="1560"/>
          </w:tcPr>
          <w:p>
            <w:pPr>
              <w:spacing w:line="240" w:lineRule="auto"/>
            </w:pPr>
            <w:r/>
            <w:r>
              <w:rPr>
                <w:rFonts w:ascii="Times New Roman" w:hAnsi="Times New Roman"/>
                <w:sz w:val="18"/>
              </w:rPr>
              <w:t>1 (1.5%)</w:t>
            </w:r>
          </w:p>
        </w:tc>
        <w:tc>
          <w:tcPr>
            <w:tcW w:type="dxa" w:w="1560"/>
          </w:tcPr>
          <w:p>
            <w:pPr>
              <w:spacing w:line="240" w:lineRule="auto"/>
            </w:pPr>
            <w:r/>
            <w:r>
              <w:rPr>
                <w:rFonts w:ascii="Times New Roman" w:hAnsi="Times New Roman"/>
                <w:sz w:val="18"/>
              </w:rPr>
              <w:t>16 (0.7%)</w:t>
            </w:r>
          </w:p>
        </w:tc>
        <w:tc>
          <w:tcPr>
            <w:tcW w:type="dxa" w:w="1560"/>
          </w:tcPr>
          <w:p>
            <w:pPr>
              <w:spacing w:line="240" w:lineRule="auto"/>
            </w:pPr>
            <w:r/>
            <w:r>
              <w:rPr>
                <w:rFonts w:ascii="Times New Roman" w:hAnsi="Times New Roman"/>
                <w:sz w:val="18"/>
              </w:rPr>
              <w:t>25 (2.2%)</w:t>
            </w:r>
          </w:p>
        </w:tc>
        <w:tc>
          <w:tcPr>
            <w:tcW w:type="dxa" w:w="1560"/>
          </w:tcPr>
          <w:p>
            <w:pPr>
              <w:spacing w:line="240" w:lineRule="auto"/>
            </w:pPr>
            <w:r/>
            <w:r>
              <w:rPr>
                <w:rFonts w:ascii="Times New Roman" w:hAnsi="Times New Roman"/>
                <w:sz w:val="18"/>
              </w:rPr>
              <w:t>42 (1.2%)</w:t>
            </w:r>
          </w:p>
        </w:tc>
        <w:tc>
          <w:tcPr>
            <w:tcW w:type="dxa" w:w="1560"/>
          </w:tcPr>
          <w:p>
            <w:pPr>
              <w:spacing w:line="240" w:lineRule="auto"/>
            </w:pPr>
            <w:r/>
            <w:r>
              <w:rPr>
                <w:rFonts w:ascii="Times New Roman" w:hAnsi="Times New Roman"/>
                <w:sz w:val="18"/>
              </w:rPr>
              <w:t>&lt;0.001</w:t>
            </w:r>
          </w:p>
        </w:tc>
      </w:tr>
      <w:tr>
        <w:tc>
          <w:tcPr>
            <w:tcW w:type="dxa" w:w="1560"/>
          </w:tcPr>
          <w:p>
            <w:pPr>
              <w:spacing w:line="240" w:lineRule="auto"/>
            </w:pPr>
            <w:r/>
            <w:r>
              <w:rPr>
                <w:rFonts w:ascii="Times New Roman" w:hAnsi="Times New Roman"/>
                <w:sz w:val="18"/>
              </w:rPr>
              <w:t>AJCC 8th edition stage</w:t>
            </w:r>
          </w:p>
        </w:tc>
        <w:tc>
          <w:tcPr>
            <w:tcW w:type="dxa" w:w="1560"/>
          </w:tcPr>
          <w:p>
            <w:pPr>
              <w:spacing w:line="240" w:lineRule="auto"/>
            </w:pPr>
            <w:r/>
            <w:r>
              <w:rPr>
                <w:rFonts w:ascii="Times New Roman" w:hAnsi="Times New Roman"/>
                <w:sz w:val="18"/>
              </w:rPr>
            </w:r>
          </w:p>
        </w:tc>
        <w:tc>
          <w:tcPr>
            <w:tcW w:type="dxa" w:w="1560"/>
          </w:tcPr>
          <w:p>
            <w:pPr>
              <w:spacing w:line="240" w:lineRule="auto"/>
            </w:pPr>
            <w:r/>
            <w:r>
              <w:rPr>
                <w:rFonts w:ascii="Times New Roman" w:hAnsi="Times New Roman"/>
                <w:sz w:val="18"/>
              </w:rPr>
            </w:r>
          </w:p>
        </w:tc>
        <w:tc>
          <w:tcPr>
            <w:tcW w:type="dxa" w:w="1560"/>
          </w:tcPr>
          <w:p>
            <w:pPr>
              <w:spacing w:line="240" w:lineRule="auto"/>
            </w:pPr>
            <w:r/>
            <w:r>
              <w:rPr>
                <w:rFonts w:ascii="Times New Roman" w:hAnsi="Times New Roman"/>
                <w:sz w:val="18"/>
              </w:rPr>
            </w:r>
          </w:p>
        </w:tc>
        <w:tc>
          <w:tcPr>
            <w:tcW w:type="dxa" w:w="1560"/>
          </w:tcPr>
          <w:p>
            <w:pPr>
              <w:spacing w:line="240" w:lineRule="auto"/>
            </w:pPr>
            <w:r/>
            <w:r>
              <w:rPr>
                <w:rFonts w:ascii="Times New Roman" w:hAnsi="Times New Roman"/>
                <w:sz w:val="18"/>
              </w:rPr>
            </w:r>
          </w:p>
        </w:tc>
        <w:tc>
          <w:tcPr>
            <w:tcW w:type="dxa" w:w="1560"/>
          </w:tcPr>
          <w:p>
            <w:pPr>
              <w:spacing w:line="240" w:lineRule="auto"/>
            </w:pPr>
            <w:r/>
            <w:r>
              <w:rPr>
                <w:rFonts w:ascii="Times New Roman" w:hAnsi="Times New Roman"/>
                <w:sz w:val="18"/>
              </w:rPr>
            </w:r>
          </w:p>
        </w:tc>
      </w:tr>
      <w:tr>
        <w:tc>
          <w:tcPr>
            <w:tcW w:type="dxa" w:w="1560"/>
          </w:tcPr>
          <w:p>
            <w:pPr>
              <w:spacing w:line="240" w:lineRule="auto"/>
            </w:pPr>
            <w:r/>
            <w:r>
              <w:rPr>
                <w:rFonts w:ascii="Times New Roman" w:hAnsi="Times New Roman"/>
                <w:sz w:val="18"/>
              </w:rPr>
              <w:t>T1a</w:t>
            </w:r>
          </w:p>
        </w:tc>
        <w:tc>
          <w:tcPr>
            <w:tcW w:type="dxa" w:w="1560"/>
          </w:tcPr>
          <w:p>
            <w:pPr>
              <w:spacing w:line="240" w:lineRule="auto"/>
            </w:pPr>
            <w:r/>
            <w:r>
              <w:rPr>
                <w:rFonts w:ascii="Times New Roman" w:hAnsi="Times New Roman"/>
                <w:sz w:val="18"/>
              </w:rPr>
              <w:t>31 (45.6%)</w:t>
            </w:r>
          </w:p>
        </w:tc>
        <w:tc>
          <w:tcPr>
            <w:tcW w:type="dxa" w:w="1560"/>
          </w:tcPr>
          <w:p>
            <w:pPr>
              <w:spacing w:line="240" w:lineRule="auto"/>
            </w:pPr>
            <w:r/>
            <w:r>
              <w:rPr>
                <w:rFonts w:ascii="Times New Roman" w:hAnsi="Times New Roman"/>
                <w:sz w:val="18"/>
              </w:rPr>
              <w:t>888 (37.6%)</w:t>
            </w:r>
          </w:p>
        </w:tc>
        <w:tc>
          <w:tcPr>
            <w:tcW w:type="dxa" w:w="1560"/>
          </w:tcPr>
          <w:p>
            <w:pPr>
              <w:spacing w:line="240" w:lineRule="auto"/>
            </w:pPr>
            <w:r/>
            <w:r>
              <w:rPr>
                <w:rFonts w:ascii="Times New Roman" w:hAnsi="Times New Roman"/>
                <w:sz w:val="18"/>
              </w:rPr>
              <w:t>0 (0.0%)</w:t>
            </w:r>
          </w:p>
        </w:tc>
        <w:tc>
          <w:tcPr>
            <w:tcW w:type="dxa" w:w="1560"/>
          </w:tcPr>
          <w:p>
            <w:pPr>
              <w:spacing w:line="240" w:lineRule="auto"/>
            </w:pPr>
            <w:r/>
            <w:r>
              <w:rPr>
                <w:rFonts w:ascii="Times New Roman" w:hAnsi="Times New Roman"/>
                <w:sz w:val="18"/>
              </w:rPr>
              <w:t>919 (25.7%)</w:t>
            </w:r>
          </w:p>
        </w:tc>
        <w:tc>
          <w:tcPr>
            <w:tcW w:type="dxa" w:w="1560"/>
          </w:tcPr>
          <w:p>
            <w:pPr>
              <w:spacing w:line="240" w:lineRule="auto"/>
            </w:pPr>
            <w:r/>
            <w:r>
              <w:rPr>
                <w:rFonts w:ascii="Times New Roman" w:hAnsi="Times New Roman"/>
                <w:sz w:val="18"/>
              </w:rPr>
              <w:t>&lt;0.001</w:t>
            </w:r>
          </w:p>
        </w:tc>
      </w:tr>
      <w:tr>
        <w:tc>
          <w:tcPr>
            <w:tcW w:type="dxa" w:w="1560"/>
          </w:tcPr>
          <w:p>
            <w:pPr>
              <w:spacing w:line="240" w:lineRule="auto"/>
            </w:pPr>
            <w:r/>
            <w:r>
              <w:rPr>
                <w:rFonts w:ascii="Times New Roman" w:hAnsi="Times New Roman"/>
                <w:sz w:val="18"/>
              </w:rPr>
              <w:t>T1b</w:t>
            </w:r>
          </w:p>
        </w:tc>
        <w:tc>
          <w:tcPr>
            <w:tcW w:type="dxa" w:w="1560"/>
          </w:tcPr>
          <w:p>
            <w:pPr>
              <w:spacing w:line="240" w:lineRule="auto"/>
            </w:pPr>
            <w:r/>
            <w:r>
              <w:rPr>
                <w:rFonts w:ascii="Times New Roman" w:hAnsi="Times New Roman"/>
                <w:sz w:val="18"/>
              </w:rPr>
              <w:t>14 (20.6%)</w:t>
            </w:r>
          </w:p>
        </w:tc>
        <w:tc>
          <w:tcPr>
            <w:tcW w:type="dxa" w:w="1560"/>
          </w:tcPr>
          <w:p>
            <w:pPr>
              <w:spacing w:line="240" w:lineRule="auto"/>
            </w:pPr>
            <w:r/>
            <w:r>
              <w:rPr>
                <w:rFonts w:ascii="Times New Roman" w:hAnsi="Times New Roman"/>
                <w:sz w:val="18"/>
              </w:rPr>
              <w:t>657 (27.9%)</w:t>
            </w:r>
          </w:p>
        </w:tc>
        <w:tc>
          <w:tcPr>
            <w:tcW w:type="dxa" w:w="1560"/>
          </w:tcPr>
          <w:p>
            <w:pPr>
              <w:spacing w:line="240" w:lineRule="auto"/>
            </w:pPr>
            <w:r/>
            <w:r>
              <w:rPr>
                <w:rFonts w:ascii="Times New Roman" w:hAnsi="Times New Roman"/>
                <w:sz w:val="18"/>
              </w:rPr>
              <w:t>0 (0.0%)</w:t>
            </w:r>
          </w:p>
        </w:tc>
        <w:tc>
          <w:tcPr>
            <w:tcW w:type="dxa" w:w="1560"/>
          </w:tcPr>
          <w:p>
            <w:pPr>
              <w:spacing w:line="240" w:lineRule="auto"/>
            </w:pPr>
            <w:r/>
            <w:r>
              <w:rPr>
                <w:rFonts w:ascii="Times New Roman" w:hAnsi="Times New Roman"/>
                <w:sz w:val="18"/>
              </w:rPr>
              <w:t>671 (18.8%)</w:t>
            </w:r>
          </w:p>
        </w:tc>
        <w:tc>
          <w:tcPr>
            <w:tcW w:type="dxa" w:w="1560"/>
          </w:tcPr>
          <w:p>
            <w:pPr>
              <w:spacing w:line="240" w:lineRule="auto"/>
            </w:pPr>
            <w:r/>
            <w:r>
              <w:rPr>
                <w:rFonts w:ascii="Times New Roman" w:hAnsi="Times New Roman"/>
                <w:sz w:val="18"/>
              </w:rPr>
              <w:t>&lt;0.001</w:t>
            </w:r>
          </w:p>
        </w:tc>
      </w:tr>
      <w:tr>
        <w:tc>
          <w:tcPr>
            <w:tcW w:type="dxa" w:w="1560"/>
          </w:tcPr>
          <w:p>
            <w:pPr>
              <w:spacing w:line="240" w:lineRule="auto"/>
            </w:pPr>
            <w:r/>
            <w:r>
              <w:rPr>
                <w:rFonts w:ascii="Times New Roman" w:hAnsi="Times New Roman"/>
                <w:sz w:val="18"/>
              </w:rPr>
              <w:t>T2</w:t>
            </w:r>
          </w:p>
        </w:tc>
        <w:tc>
          <w:tcPr>
            <w:tcW w:type="dxa" w:w="1560"/>
          </w:tcPr>
          <w:p>
            <w:pPr>
              <w:spacing w:line="240" w:lineRule="auto"/>
            </w:pPr>
            <w:r/>
            <w:r>
              <w:rPr>
                <w:rFonts w:ascii="Times New Roman" w:hAnsi="Times New Roman"/>
                <w:sz w:val="18"/>
              </w:rPr>
              <w:t>13 (19.1%)</w:t>
            </w:r>
          </w:p>
        </w:tc>
        <w:tc>
          <w:tcPr>
            <w:tcW w:type="dxa" w:w="1560"/>
          </w:tcPr>
          <w:p>
            <w:pPr>
              <w:spacing w:line="240" w:lineRule="auto"/>
            </w:pPr>
            <w:r/>
            <w:r>
              <w:rPr>
                <w:rFonts w:ascii="Times New Roman" w:hAnsi="Times New Roman"/>
                <w:sz w:val="18"/>
              </w:rPr>
              <w:t>578 (24.5%)</w:t>
            </w:r>
          </w:p>
        </w:tc>
        <w:tc>
          <w:tcPr>
            <w:tcW w:type="dxa" w:w="1560"/>
          </w:tcPr>
          <w:p>
            <w:pPr>
              <w:spacing w:line="240" w:lineRule="auto"/>
            </w:pPr>
            <w:r/>
            <w:r>
              <w:rPr>
                <w:rFonts w:ascii="Times New Roman" w:hAnsi="Times New Roman"/>
                <w:sz w:val="18"/>
              </w:rPr>
              <w:t>0 (0.0%)</w:t>
            </w:r>
          </w:p>
        </w:tc>
        <w:tc>
          <w:tcPr>
            <w:tcW w:type="dxa" w:w="1560"/>
          </w:tcPr>
          <w:p>
            <w:pPr>
              <w:spacing w:line="240" w:lineRule="auto"/>
            </w:pPr>
            <w:r/>
            <w:r>
              <w:rPr>
                <w:rFonts w:ascii="Times New Roman" w:hAnsi="Times New Roman"/>
                <w:sz w:val="18"/>
              </w:rPr>
              <w:t>591 (16.5%)</w:t>
            </w:r>
          </w:p>
        </w:tc>
        <w:tc>
          <w:tcPr>
            <w:tcW w:type="dxa" w:w="1560"/>
          </w:tcPr>
          <w:p>
            <w:pPr>
              <w:spacing w:line="240" w:lineRule="auto"/>
            </w:pPr>
            <w:r/>
            <w:r>
              <w:rPr>
                <w:rFonts w:ascii="Times New Roman" w:hAnsi="Times New Roman"/>
                <w:sz w:val="18"/>
              </w:rPr>
              <w:t>&lt;0.001</w:t>
            </w:r>
          </w:p>
        </w:tc>
      </w:tr>
      <w:tr>
        <w:tc>
          <w:tcPr>
            <w:tcW w:type="dxa" w:w="1560"/>
          </w:tcPr>
          <w:p>
            <w:pPr>
              <w:spacing w:line="240" w:lineRule="auto"/>
            </w:pPr>
            <w:r/>
            <w:r>
              <w:rPr>
                <w:rFonts w:ascii="Times New Roman" w:hAnsi="Times New Roman"/>
                <w:sz w:val="18"/>
              </w:rPr>
              <w:t>T3a</w:t>
            </w:r>
          </w:p>
        </w:tc>
        <w:tc>
          <w:tcPr>
            <w:tcW w:type="dxa" w:w="1560"/>
          </w:tcPr>
          <w:p>
            <w:pPr>
              <w:spacing w:line="240" w:lineRule="auto"/>
            </w:pPr>
            <w:r/>
            <w:r>
              <w:rPr>
                <w:rFonts w:ascii="Times New Roman" w:hAnsi="Times New Roman"/>
                <w:sz w:val="18"/>
              </w:rPr>
              <w:t>10 (14.7%)</w:t>
            </w:r>
          </w:p>
        </w:tc>
        <w:tc>
          <w:tcPr>
            <w:tcW w:type="dxa" w:w="1560"/>
          </w:tcPr>
          <w:p>
            <w:pPr>
              <w:spacing w:line="240" w:lineRule="auto"/>
            </w:pPr>
            <w:r/>
            <w:r>
              <w:rPr>
                <w:rFonts w:ascii="Times New Roman" w:hAnsi="Times New Roman"/>
                <w:sz w:val="18"/>
              </w:rPr>
              <w:t>231 (9.8%)</w:t>
            </w:r>
          </w:p>
        </w:tc>
        <w:tc>
          <w:tcPr>
            <w:tcW w:type="dxa" w:w="1560"/>
          </w:tcPr>
          <w:p>
            <w:pPr>
              <w:spacing w:line="240" w:lineRule="auto"/>
            </w:pPr>
            <w:r/>
            <w:r>
              <w:rPr>
                <w:rFonts w:ascii="Times New Roman" w:hAnsi="Times New Roman"/>
                <w:sz w:val="18"/>
              </w:rPr>
              <w:t>0 (0.0%)</w:t>
            </w:r>
          </w:p>
        </w:tc>
        <w:tc>
          <w:tcPr>
            <w:tcW w:type="dxa" w:w="1560"/>
          </w:tcPr>
          <w:p>
            <w:pPr>
              <w:spacing w:line="240" w:lineRule="auto"/>
            </w:pPr>
            <w:r/>
            <w:r>
              <w:rPr>
                <w:rFonts w:ascii="Times New Roman" w:hAnsi="Times New Roman"/>
                <w:sz w:val="18"/>
              </w:rPr>
              <w:t>241 (6.7%)</w:t>
            </w:r>
          </w:p>
        </w:tc>
        <w:tc>
          <w:tcPr>
            <w:tcW w:type="dxa" w:w="1560"/>
          </w:tcPr>
          <w:p>
            <w:pPr>
              <w:spacing w:line="240" w:lineRule="auto"/>
            </w:pPr>
            <w:r/>
            <w:r>
              <w:rPr>
                <w:rFonts w:ascii="Times New Roman" w:hAnsi="Times New Roman"/>
                <w:sz w:val="18"/>
              </w:rPr>
              <w:t>&lt;0.001</w:t>
            </w:r>
          </w:p>
        </w:tc>
      </w:tr>
      <w:tr>
        <w:tc>
          <w:tcPr>
            <w:tcW w:type="dxa" w:w="1560"/>
          </w:tcPr>
          <w:p>
            <w:pPr>
              <w:spacing w:line="240" w:lineRule="auto"/>
            </w:pPr>
            <w:r/>
            <w:r>
              <w:rPr>
                <w:rFonts w:ascii="Times New Roman" w:hAnsi="Times New Roman"/>
                <w:sz w:val="18"/>
              </w:rPr>
              <w:t>T3b</w:t>
            </w:r>
          </w:p>
        </w:tc>
        <w:tc>
          <w:tcPr>
            <w:tcW w:type="dxa" w:w="1560"/>
          </w:tcPr>
          <w:p>
            <w:pPr>
              <w:spacing w:line="240" w:lineRule="auto"/>
            </w:pPr>
            <w:r/>
            <w:r>
              <w:rPr>
                <w:rFonts w:ascii="Times New Roman" w:hAnsi="Times New Roman"/>
                <w:sz w:val="18"/>
              </w:rPr>
              <w:t>0 (0.0%)</w:t>
            </w:r>
          </w:p>
        </w:tc>
        <w:tc>
          <w:tcPr>
            <w:tcW w:type="dxa" w:w="1560"/>
          </w:tcPr>
          <w:p>
            <w:pPr>
              <w:spacing w:line="240" w:lineRule="auto"/>
            </w:pPr>
            <w:r/>
            <w:r>
              <w:rPr>
                <w:rFonts w:ascii="Times New Roman" w:hAnsi="Times New Roman"/>
                <w:sz w:val="18"/>
              </w:rPr>
              <w:t>0 (0.0%)</w:t>
            </w:r>
          </w:p>
        </w:tc>
        <w:tc>
          <w:tcPr>
            <w:tcW w:type="dxa" w:w="1560"/>
          </w:tcPr>
          <w:p>
            <w:pPr>
              <w:spacing w:line="240" w:lineRule="auto"/>
            </w:pPr>
            <w:r/>
            <w:r>
              <w:rPr>
                <w:rFonts w:ascii="Times New Roman" w:hAnsi="Times New Roman"/>
                <w:sz w:val="18"/>
              </w:rPr>
              <w:t>1,151 (100%)</w:t>
            </w:r>
          </w:p>
        </w:tc>
        <w:tc>
          <w:tcPr>
            <w:tcW w:type="dxa" w:w="1560"/>
          </w:tcPr>
          <w:p>
            <w:pPr>
              <w:spacing w:line="240" w:lineRule="auto"/>
            </w:pPr>
            <w:r/>
            <w:r>
              <w:rPr>
                <w:rFonts w:ascii="Times New Roman" w:hAnsi="Times New Roman"/>
                <w:sz w:val="18"/>
              </w:rPr>
              <w:t>1,151 (32.2%)</w:t>
            </w:r>
          </w:p>
        </w:tc>
        <w:tc>
          <w:tcPr>
            <w:tcW w:type="dxa" w:w="1560"/>
          </w:tcPr>
          <w:p>
            <w:pPr>
              <w:spacing w:line="240" w:lineRule="auto"/>
            </w:pPr>
            <w:r/>
            <w:r>
              <w:rPr>
                <w:rFonts w:ascii="Times New Roman" w:hAnsi="Times New Roman"/>
                <w:sz w:val="18"/>
              </w:rPr>
              <w:t>&lt;0.001</w:t>
            </w:r>
          </w:p>
        </w:tc>
      </w:tr>
      <w:tr>
        <w:tc>
          <w:tcPr>
            <w:tcW w:type="dxa" w:w="1560"/>
          </w:tcPr>
          <w:p>
            <w:pPr>
              <w:spacing w:line="240" w:lineRule="auto"/>
            </w:pPr>
            <w:r/>
            <w:r>
              <w:rPr>
                <w:rFonts w:ascii="Times New Roman" w:hAnsi="Times New Roman"/>
                <w:sz w:val="18"/>
              </w:rPr>
              <w:t>N0</w:t>
            </w:r>
          </w:p>
        </w:tc>
        <w:tc>
          <w:tcPr>
            <w:tcW w:type="dxa" w:w="1560"/>
          </w:tcPr>
          <w:p>
            <w:pPr>
              <w:spacing w:line="240" w:lineRule="auto"/>
            </w:pPr>
            <w:r/>
            <w:r>
              <w:rPr>
                <w:rFonts w:ascii="Times New Roman" w:hAnsi="Times New Roman"/>
                <w:sz w:val="18"/>
              </w:rPr>
              <w:t>20 (29.4%)</w:t>
            </w:r>
          </w:p>
        </w:tc>
        <w:tc>
          <w:tcPr>
            <w:tcW w:type="dxa" w:w="1560"/>
          </w:tcPr>
          <w:p>
            <w:pPr>
              <w:spacing w:line="240" w:lineRule="auto"/>
            </w:pPr>
            <w:r/>
            <w:r>
              <w:rPr>
                <w:rFonts w:ascii="Times New Roman" w:hAnsi="Times New Roman"/>
                <w:sz w:val="18"/>
              </w:rPr>
              <w:t>793 (33.6%)</w:t>
            </w:r>
          </w:p>
        </w:tc>
        <w:tc>
          <w:tcPr>
            <w:tcW w:type="dxa" w:w="1560"/>
          </w:tcPr>
          <w:p>
            <w:pPr>
              <w:spacing w:line="240" w:lineRule="auto"/>
            </w:pPr>
            <w:r/>
            <w:r>
              <w:rPr>
                <w:rFonts w:ascii="Times New Roman" w:hAnsi="Times New Roman"/>
                <w:sz w:val="18"/>
              </w:rPr>
              <w:t>294 (25.5%)</w:t>
            </w:r>
          </w:p>
        </w:tc>
        <w:tc>
          <w:tcPr>
            <w:tcW w:type="dxa" w:w="1560"/>
          </w:tcPr>
          <w:p>
            <w:pPr>
              <w:spacing w:line="240" w:lineRule="auto"/>
            </w:pPr>
            <w:r/>
            <w:r>
              <w:rPr>
                <w:rFonts w:ascii="Times New Roman" w:hAnsi="Times New Roman"/>
                <w:sz w:val="18"/>
              </w:rPr>
              <w:t>1,107 (30.9%)</w:t>
            </w:r>
          </w:p>
        </w:tc>
        <w:tc>
          <w:tcPr>
            <w:tcW w:type="dxa" w:w="1560"/>
          </w:tcPr>
          <w:p>
            <w:pPr>
              <w:spacing w:line="240" w:lineRule="auto"/>
            </w:pPr>
            <w:r/>
            <w:r>
              <w:rPr>
                <w:rFonts w:ascii="Times New Roman" w:hAnsi="Times New Roman"/>
                <w:sz w:val="18"/>
              </w:rPr>
              <w:t>&lt;0.001</w:t>
            </w:r>
          </w:p>
        </w:tc>
      </w:tr>
      <w:tr>
        <w:tc>
          <w:tcPr>
            <w:tcW w:type="dxa" w:w="1560"/>
          </w:tcPr>
          <w:p>
            <w:pPr>
              <w:spacing w:line="240" w:lineRule="auto"/>
            </w:pPr>
            <w:r/>
            <w:r>
              <w:rPr>
                <w:rFonts w:ascii="Times New Roman" w:hAnsi="Times New Roman"/>
                <w:sz w:val="18"/>
              </w:rPr>
              <w:t>N1a</w:t>
            </w:r>
          </w:p>
        </w:tc>
        <w:tc>
          <w:tcPr>
            <w:tcW w:type="dxa" w:w="1560"/>
          </w:tcPr>
          <w:p>
            <w:pPr>
              <w:spacing w:line="240" w:lineRule="auto"/>
            </w:pPr>
            <w:r/>
            <w:r>
              <w:rPr>
                <w:rFonts w:ascii="Times New Roman" w:hAnsi="Times New Roman"/>
                <w:sz w:val="18"/>
              </w:rPr>
              <w:t>31 (45.6%)</w:t>
            </w:r>
          </w:p>
        </w:tc>
        <w:tc>
          <w:tcPr>
            <w:tcW w:type="dxa" w:w="1560"/>
          </w:tcPr>
          <w:p>
            <w:pPr>
              <w:spacing w:line="240" w:lineRule="auto"/>
            </w:pPr>
            <w:r/>
            <w:r>
              <w:rPr>
                <w:rFonts w:ascii="Times New Roman" w:hAnsi="Times New Roman"/>
                <w:sz w:val="18"/>
              </w:rPr>
              <w:t>1,401 (59.4%)</w:t>
            </w:r>
          </w:p>
        </w:tc>
        <w:tc>
          <w:tcPr>
            <w:tcW w:type="dxa" w:w="1560"/>
          </w:tcPr>
          <w:p>
            <w:pPr>
              <w:spacing w:line="240" w:lineRule="auto"/>
            </w:pPr>
            <w:r/>
            <w:r>
              <w:rPr>
                <w:rFonts w:ascii="Times New Roman" w:hAnsi="Times New Roman"/>
                <w:sz w:val="18"/>
              </w:rPr>
              <w:t>798 (69.3%)</w:t>
            </w:r>
          </w:p>
        </w:tc>
        <w:tc>
          <w:tcPr>
            <w:tcW w:type="dxa" w:w="1560"/>
          </w:tcPr>
          <w:p>
            <w:pPr>
              <w:spacing w:line="240" w:lineRule="auto"/>
            </w:pPr>
            <w:r/>
            <w:r>
              <w:rPr>
                <w:rFonts w:ascii="Times New Roman" w:hAnsi="Times New Roman"/>
                <w:sz w:val="18"/>
              </w:rPr>
              <w:t>2,230 (62.3%)</w:t>
            </w:r>
          </w:p>
        </w:tc>
        <w:tc>
          <w:tcPr>
            <w:tcW w:type="dxa" w:w="1560"/>
          </w:tcPr>
          <w:p>
            <w:pPr>
              <w:spacing w:line="240" w:lineRule="auto"/>
            </w:pPr>
            <w:r/>
            <w:r>
              <w:rPr>
                <w:rFonts w:ascii="Times New Roman" w:hAnsi="Times New Roman"/>
                <w:sz w:val="18"/>
              </w:rPr>
              <w:t>&lt;0.001</w:t>
            </w:r>
          </w:p>
        </w:tc>
      </w:tr>
      <w:tr>
        <w:tc>
          <w:tcPr>
            <w:tcW w:type="dxa" w:w="1560"/>
          </w:tcPr>
          <w:p>
            <w:pPr>
              <w:spacing w:line="240" w:lineRule="auto"/>
            </w:pPr>
            <w:r/>
            <w:r>
              <w:rPr>
                <w:rFonts w:ascii="Times New Roman" w:hAnsi="Times New Roman"/>
                <w:sz w:val="18"/>
              </w:rPr>
              <w:t>N1b</w:t>
            </w:r>
          </w:p>
        </w:tc>
        <w:tc>
          <w:tcPr>
            <w:tcW w:type="dxa" w:w="1560"/>
          </w:tcPr>
          <w:p>
            <w:pPr>
              <w:spacing w:line="240" w:lineRule="auto"/>
            </w:pPr>
            <w:r/>
            <w:r>
              <w:rPr>
                <w:rFonts w:ascii="Times New Roman" w:hAnsi="Times New Roman"/>
                <w:sz w:val="18"/>
              </w:rPr>
              <w:t>1 (1.5%)</w:t>
            </w:r>
          </w:p>
        </w:tc>
        <w:tc>
          <w:tcPr>
            <w:tcW w:type="dxa" w:w="1560"/>
          </w:tcPr>
          <w:p>
            <w:pPr>
              <w:spacing w:line="240" w:lineRule="auto"/>
            </w:pPr>
            <w:r/>
            <w:r>
              <w:rPr>
                <w:rFonts w:ascii="Times New Roman" w:hAnsi="Times New Roman"/>
                <w:sz w:val="18"/>
              </w:rPr>
              <w:t>20 (0.8%)</w:t>
            </w:r>
          </w:p>
        </w:tc>
        <w:tc>
          <w:tcPr>
            <w:tcW w:type="dxa" w:w="1560"/>
          </w:tcPr>
          <w:p>
            <w:pPr>
              <w:spacing w:line="240" w:lineRule="auto"/>
            </w:pPr>
            <w:r/>
            <w:r>
              <w:rPr>
                <w:rFonts w:ascii="Times New Roman" w:hAnsi="Times New Roman"/>
                <w:sz w:val="18"/>
              </w:rPr>
              <w:t>40 (3.5%)</w:t>
            </w:r>
          </w:p>
        </w:tc>
        <w:tc>
          <w:tcPr>
            <w:tcW w:type="dxa" w:w="1560"/>
          </w:tcPr>
          <w:p>
            <w:pPr>
              <w:spacing w:line="240" w:lineRule="auto"/>
            </w:pPr>
            <w:r/>
            <w:r>
              <w:rPr>
                <w:rFonts w:ascii="Times New Roman" w:hAnsi="Times New Roman"/>
                <w:sz w:val="18"/>
              </w:rPr>
              <w:t>61 (1.7%)</w:t>
            </w:r>
          </w:p>
        </w:tc>
        <w:tc>
          <w:tcPr>
            <w:tcW w:type="dxa" w:w="1560"/>
          </w:tcPr>
          <w:p>
            <w:pPr>
              <w:spacing w:line="240" w:lineRule="auto"/>
            </w:pPr>
            <w:r/>
            <w:r>
              <w:rPr>
                <w:rFonts w:ascii="Times New Roman" w:hAnsi="Times New Roman"/>
                <w:sz w:val="18"/>
              </w:rPr>
              <w:t>&lt;0.001</w:t>
            </w:r>
          </w:p>
        </w:tc>
      </w:tr>
      <w:tr>
        <w:tc>
          <w:tcPr>
            <w:tcW w:type="dxa" w:w="1560"/>
          </w:tcPr>
          <w:p>
            <w:pPr>
              <w:spacing w:line="240" w:lineRule="auto"/>
            </w:pPr>
            <w:r/>
            <w:r>
              <w:rPr>
                <w:rFonts w:ascii="Times New Roman" w:hAnsi="Times New Roman"/>
                <w:sz w:val="18"/>
              </w:rPr>
              <w:t>Nx</w:t>
            </w:r>
          </w:p>
        </w:tc>
        <w:tc>
          <w:tcPr>
            <w:tcW w:type="dxa" w:w="1560"/>
          </w:tcPr>
          <w:p>
            <w:pPr>
              <w:spacing w:line="240" w:lineRule="auto"/>
            </w:pPr>
            <w:r/>
            <w:r>
              <w:rPr>
                <w:rFonts w:ascii="Times New Roman" w:hAnsi="Times New Roman"/>
                <w:sz w:val="18"/>
              </w:rPr>
              <w:t>16 (23.5%)</w:t>
            </w:r>
          </w:p>
        </w:tc>
        <w:tc>
          <w:tcPr>
            <w:tcW w:type="dxa" w:w="1560"/>
          </w:tcPr>
          <w:p>
            <w:pPr>
              <w:spacing w:line="240" w:lineRule="auto"/>
            </w:pPr>
            <w:r/>
            <w:r>
              <w:rPr>
                <w:rFonts w:ascii="Times New Roman" w:hAnsi="Times New Roman"/>
                <w:sz w:val="18"/>
              </w:rPr>
              <w:t>145 (6.1%)</w:t>
            </w:r>
          </w:p>
        </w:tc>
        <w:tc>
          <w:tcPr>
            <w:tcW w:type="dxa" w:w="1560"/>
          </w:tcPr>
          <w:p>
            <w:pPr>
              <w:spacing w:line="240" w:lineRule="auto"/>
            </w:pPr>
            <w:r/>
            <w:r>
              <w:rPr>
                <w:rFonts w:ascii="Times New Roman" w:hAnsi="Times New Roman"/>
                <w:sz w:val="18"/>
              </w:rPr>
              <w:t>19 (1.7%)</w:t>
            </w:r>
          </w:p>
        </w:tc>
        <w:tc>
          <w:tcPr>
            <w:tcW w:type="dxa" w:w="1560"/>
          </w:tcPr>
          <w:p>
            <w:pPr>
              <w:spacing w:line="240" w:lineRule="auto"/>
            </w:pPr>
            <w:r/>
            <w:r>
              <w:rPr>
                <w:rFonts w:ascii="Times New Roman" w:hAnsi="Times New Roman"/>
                <w:sz w:val="18"/>
              </w:rPr>
              <w:t>180 (5.0%)</w:t>
            </w:r>
          </w:p>
        </w:tc>
        <w:tc>
          <w:tcPr>
            <w:tcW w:type="dxa" w:w="1560"/>
          </w:tcPr>
          <w:p>
            <w:pPr>
              <w:spacing w:line="240" w:lineRule="auto"/>
            </w:pPr>
            <w:r/>
            <w:r>
              <w:rPr>
                <w:rFonts w:ascii="Times New Roman" w:hAnsi="Times New Roman"/>
                <w:sz w:val="18"/>
              </w:rPr>
              <w:t>&lt;0.001</w:t>
            </w:r>
          </w:p>
        </w:tc>
      </w:tr>
      <w:tr>
        <w:tc>
          <w:tcPr>
            <w:tcW w:type="dxa" w:w="1560"/>
          </w:tcPr>
          <w:p>
            <w:pPr>
              <w:spacing w:line="240" w:lineRule="auto"/>
            </w:pPr>
            <w:r/>
            <w:r>
              <w:rPr>
                <w:rFonts w:ascii="Times New Roman" w:hAnsi="Times New Roman"/>
                <w:sz w:val="18"/>
              </w:rPr>
              <w:t>Stage I</w:t>
            </w:r>
          </w:p>
        </w:tc>
        <w:tc>
          <w:tcPr>
            <w:tcW w:type="dxa" w:w="1560"/>
          </w:tcPr>
          <w:p>
            <w:pPr>
              <w:spacing w:line="240" w:lineRule="auto"/>
            </w:pPr>
            <w:r/>
            <w:r>
              <w:rPr>
                <w:rFonts w:ascii="Times New Roman" w:hAnsi="Times New Roman"/>
                <w:sz w:val="18"/>
              </w:rPr>
              <w:t>41 (60.3%)</w:t>
            </w:r>
          </w:p>
        </w:tc>
        <w:tc>
          <w:tcPr>
            <w:tcW w:type="dxa" w:w="1560"/>
          </w:tcPr>
          <w:p>
            <w:pPr>
              <w:spacing w:line="240" w:lineRule="auto"/>
            </w:pPr>
            <w:r/>
            <w:r>
              <w:rPr>
                <w:rFonts w:ascii="Times New Roman" w:hAnsi="Times New Roman"/>
                <w:sz w:val="18"/>
              </w:rPr>
              <w:t>970 (41.1%)</w:t>
            </w:r>
          </w:p>
        </w:tc>
        <w:tc>
          <w:tcPr>
            <w:tcW w:type="dxa" w:w="1560"/>
          </w:tcPr>
          <w:p>
            <w:pPr>
              <w:spacing w:line="240" w:lineRule="auto"/>
            </w:pPr>
            <w:r/>
            <w:r>
              <w:rPr>
                <w:rFonts w:ascii="Times New Roman" w:hAnsi="Times New Roman"/>
                <w:sz w:val="18"/>
              </w:rPr>
              <w:t>334 (29.0%)</w:t>
            </w:r>
          </w:p>
        </w:tc>
        <w:tc>
          <w:tcPr>
            <w:tcW w:type="dxa" w:w="1560"/>
          </w:tcPr>
          <w:p>
            <w:pPr>
              <w:spacing w:line="240" w:lineRule="auto"/>
            </w:pPr>
            <w:r/>
            <w:r>
              <w:rPr>
                <w:rFonts w:ascii="Times New Roman" w:hAnsi="Times New Roman"/>
                <w:sz w:val="18"/>
              </w:rPr>
              <w:t>1,345 (37.6%)</w:t>
            </w:r>
          </w:p>
        </w:tc>
        <w:tc>
          <w:tcPr>
            <w:tcW w:type="dxa" w:w="1560"/>
          </w:tcPr>
          <w:p>
            <w:pPr>
              <w:spacing w:line="240" w:lineRule="auto"/>
            </w:pPr>
            <w:r/>
            <w:r>
              <w:rPr>
                <w:rFonts w:ascii="Times New Roman" w:hAnsi="Times New Roman"/>
                <w:sz w:val="18"/>
              </w:rPr>
              <w:t>&lt;0.001</w:t>
            </w:r>
          </w:p>
        </w:tc>
      </w:tr>
      <w:tr>
        <w:tc>
          <w:tcPr>
            <w:tcW w:type="dxa" w:w="1560"/>
          </w:tcPr>
          <w:p>
            <w:pPr>
              <w:spacing w:line="240" w:lineRule="auto"/>
            </w:pPr>
            <w:r/>
            <w:r>
              <w:rPr>
                <w:rFonts w:ascii="Times New Roman" w:hAnsi="Times New Roman"/>
                <w:sz w:val="18"/>
              </w:rPr>
              <w:t>Stage II</w:t>
            </w:r>
          </w:p>
        </w:tc>
        <w:tc>
          <w:tcPr>
            <w:tcW w:type="dxa" w:w="1560"/>
          </w:tcPr>
          <w:p>
            <w:pPr>
              <w:spacing w:line="240" w:lineRule="auto"/>
            </w:pPr>
            <w:r/>
            <w:r>
              <w:rPr>
                <w:rFonts w:ascii="Times New Roman" w:hAnsi="Times New Roman"/>
                <w:sz w:val="18"/>
              </w:rPr>
              <w:t>20 (29.4%)</w:t>
            </w:r>
          </w:p>
        </w:tc>
        <w:tc>
          <w:tcPr>
            <w:tcW w:type="dxa" w:w="1560"/>
          </w:tcPr>
          <w:p>
            <w:pPr>
              <w:spacing w:line="240" w:lineRule="auto"/>
            </w:pPr>
            <w:r/>
            <w:r>
              <w:rPr>
                <w:rFonts w:ascii="Times New Roman" w:hAnsi="Times New Roman"/>
                <w:sz w:val="18"/>
              </w:rPr>
              <w:t>931 (39.5%)</w:t>
            </w:r>
          </w:p>
        </w:tc>
        <w:tc>
          <w:tcPr>
            <w:tcW w:type="dxa" w:w="1560"/>
          </w:tcPr>
          <w:p>
            <w:pPr>
              <w:spacing w:line="240" w:lineRule="auto"/>
            </w:pPr>
            <w:r/>
            <w:r>
              <w:rPr>
                <w:rFonts w:ascii="Times New Roman" w:hAnsi="Times New Roman"/>
                <w:sz w:val="18"/>
              </w:rPr>
              <w:t>590 (51.3%)</w:t>
            </w:r>
          </w:p>
        </w:tc>
        <w:tc>
          <w:tcPr>
            <w:tcW w:type="dxa" w:w="1560"/>
          </w:tcPr>
          <w:p>
            <w:pPr>
              <w:spacing w:line="240" w:lineRule="auto"/>
            </w:pPr>
            <w:r/>
            <w:r>
              <w:rPr>
                <w:rFonts w:ascii="Times New Roman" w:hAnsi="Times New Roman"/>
                <w:sz w:val="18"/>
              </w:rPr>
              <w:t>1,541 (43.1%)</w:t>
            </w:r>
          </w:p>
        </w:tc>
        <w:tc>
          <w:tcPr>
            <w:tcW w:type="dxa" w:w="1560"/>
          </w:tcPr>
          <w:p>
            <w:pPr>
              <w:spacing w:line="240" w:lineRule="auto"/>
            </w:pPr>
            <w:r/>
            <w:r>
              <w:rPr>
                <w:rFonts w:ascii="Times New Roman" w:hAnsi="Times New Roman"/>
                <w:sz w:val="18"/>
              </w:rPr>
              <w:t>&lt;0.001</w:t>
            </w:r>
          </w:p>
        </w:tc>
      </w:tr>
      <w:tr>
        <w:tc>
          <w:tcPr>
            <w:tcW w:type="dxa" w:w="1560"/>
          </w:tcPr>
          <w:p>
            <w:pPr>
              <w:spacing w:line="240" w:lineRule="auto"/>
            </w:pPr>
            <w:r/>
            <w:r>
              <w:rPr>
                <w:rFonts w:ascii="Times New Roman" w:hAnsi="Times New Roman"/>
                <w:sz w:val="18"/>
              </w:rPr>
              <w:t>Stage III</w:t>
            </w:r>
          </w:p>
        </w:tc>
        <w:tc>
          <w:tcPr>
            <w:tcW w:type="dxa" w:w="1560"/>
          </w:tcPr>
          <w:p>
            <w:pPr>
              <w:spacing w:line="240" w:lineRule="auto"/>
            </w:pPr>
            <w:r/>
            <w:r>
              <w:rPr>
                <w:rFonts w:ascii="Times New Roman" w:hAnsi="Times New Roman"/>
                <w:sz w:val="18"/>
              </w:rPr>
              <w:t>0 (0.0%)</w:t>
            </w:r>
          </w:p>
        </w:tc>
        <w:tc>
          <w:tcPr>
            <w:tcW w:type="dxa" w:w="1560"/>
          </w:tcPr>
          <w:p>
            <w:pPr>
              <w:spacing w:line="240" w:lineRule="auto"/>
            </w:pPr>
            <w:r/>
            <w:r>
              <w:rPr>
                <w:rFonts w:ascii="Times New Roman" w:hAnsi="Times New Roman"/>
                <w:sz w:val="18"/>
              </w:rPr>
              <w:t>1 (0.0%)</w:t>
            </w:r>
          </w:p>
        </w:tc>
        <w:tc>
          <w:tcPr>
            <w:tcW w:type="dxa" w:w="1560"/>
          </w:tcPr>
          <w:p>
            <w:pPr>
              <w:spacing w:line="240" w:lineRule="auto"/>
            </w:pPr>
            <w:r/>
            <w:r>
              <w:rPr>
                <w:rFonts w:ascii="Times New Roman" w:hAnsi="Times New Roman"/>
                <w:sz w:val="18"/>
              </w:rPr>
              <w:t>7 (0.6%)</w:t>
            </w:r>
          </w:p>
        </w:tc>
        <w:tc>
          <w:tcPr>
            <w:tcW w:type="dxa" w:w="1560"/>
          </w:tcPr>
          <w:p>
            <w:pPr>
              <w:spacing w:line="240" w:lineRule="auto"/>
            </w:pPr>
            <w:r/>
            <w:r>
              <w:rPr>
                <w:rFonts w:ascii="Times New Roman" w:hAnsi="Times New Roman"/>
                <w:sz w:val="18"/>
              </w:rPr>
              <w:t>8 (0.2%)</w:t>
            </w:r>
          </w:p>
        </w:tc>
        <w:tc>
          <w:tcPr>
            <w:tcW w:type="dxa" w:w="1560"/>
          </w:tcPr>
          <w:p>
            <w:pPr>
              <w:spacing w:line="240" w:lineRule="auto"/>
            </w:pPr>
            <w:r/>
            <w:r>
              <w:rPr>
                <w:rFonts w:ascii="Times New Roman" w:hAnsi="Times New Roman"/>
                <w:sz w:val="18"/>
              </w:rPr>
              <w:t>0.004</w:t>
            </w:r>
          </w:p>
        </w:tc>
      </w:tr>
      <w:tr>
        <w:tc>
          <w:tcPr>
            <w:tcW w:type="dxa" w:w="1560"/>
          </w:tcPr>
          <w:p>
            <w:pPr>
              <w:spacing w:line="240" w:lineRule="auto"/>
            </w:pPr>
            <w:r/>
            <w:r>
              <w:rPr>
                <w:rFonts w:ascii="Times New Roman" w:hAnsi="Times New Roman"/>
                <w:sz w:val="18"/>
              </w:rPr>
              <w:t>Stage IVB</w:t>
            </w:r>
          </w:p>
        </w:tc>
        <w:tc>
          <w:tcPr>
            <w:tcW w:type="dxa" w:w="1560"/>
          </w:tcPr>
          <w:p>
            <w:pPr>
              <w:spacing w:line="240" w:lineRule="auto"/>
            </w:pPr>
            <w:r/>
            <w:r>
              <w:rPr>
                <w:rFonts w:ascii="Times New Roman" w:hAnsi="Times New Roman"/>
                <w:sz w:val="18"/>
              </w:rPr>
              <w:t>7 (10.3%)</w:t>
            </w:r>
          </w:p>
        </w:tc>
        <w:tc>
          <w:tcPr>
            <w:tcW w:type="dxa" w:w="1560"/>
          </w:tcPr>
          <w:p>
            <w:pPr>
              <w:spacing w:line="240" w:lineRule="auto"/>
            </w:pPr>
            <w:r/>
            <w:r>
              <w:rPr>
                <w:rFonts w:ascii="Times New Roman" w:hAnsi="Times New Roman"/>
                <w:sz w:val="18"/>
              </w:rPr>
              <w:t>457 (19.4%)</w:t>
            </w:r>
          </w:p>
        </w:tc>
        <w:tc>
          <w:tcPr>
            <w:tcW w:type="dxa" w:w="1560"/>
          </w:tcPr>
          <w:p>
            <w:pPr>
              <w:spacing w:line="240" w:lineRule="auto"/>
            </w:pPr>
            <w:r/>
            <w:r>
              <w:rPr>
                <w:rFonts w:ascii="Times New Roman" w:hAnsi="Times New Roman"/>
                <w:sz w:val="18"/>
              </w:rPr>
              <w:t>220 (19.1%)</w:t>
            </w:r>
          </w:p>
        </w:tc>
        <w:tc>
          <w:tcPr>
            <w:tcW w:type="dxa" w:w="1560"/>
          </w:tcPr>
          <w:p>
            <w:pPr>
              <w:spacing w:line="240" w:lineRule="auto"/>
            </w:pPr>
            <w:r/>
            <w:r>
              <w:rPr>
                <w:rFonts w:ascii="Times New Roman" w:hAnsi="Times New Roman"/>
                <w:sz w:val="18"/>
              </w:rPr>
              <w:t>684 (19.1%)</w:t>
            </w:r>
          </w:p>
        </w:tc>
        <w:tc>
          <w:tcPr>
            <w:tcW w:type="dxa" w:w="1560"/>
          </w:tcPr>
          <w:p>
            <w:pPr>
              <w:spacing w:line="240" w:lineRule="auto"/>
            </w:pPr>
            <w:r/>
            <w:r>
              <w:rPr>
                <w:rFonts w:ascii="Times New Roman" w:hAnsi="Times New Roman"/>
                <w:sz w:val="18"/>
              </w:rPr>
              <w:t>0.172</w:t>
            </w:r>
          </w:p>
        </w:tc>
      </w:tr>
      <w:tr>
        <w:tc>
          <w:tcPr>
            <w:tcW w:type="dxa" w:w="1560"/>
          </w:tcPr>
          <w:p>
            <w:pPr>
              <w:spacing w:line="240" w:lineRule="auto"/>
            </w:pPr>
            <w:r/>
            <w:r>
              <w:rPr>
                <w:rFonts w:ascii="Times New Roman" w:hAnsi="Times New Roman"/>
                <w:sz w:val="18"/>
              </w:rPr>
              <w:t>Histology</w:t>
            </w:r>
          </w:p>
        </w:tc>
        <w:tc>
          <w:tcPr>
            <w:tcW w:type="dxa" w:w="1560"/>
          </w:tcPr>
          <w:p>
            <w:pPr>
              <w:spacing w:line="240" w:lineRule="auto"/>
            </w:pPr>
            <w:r/>
            <w:r>
              <w:rPr>
                <w:rFonts w:ascii="Times New Roman" w:hAnsi="Times New Roman"/>
                <w:sz w:val="18"/>
              </w:rPr>
            </w:r>
          </w:p>
        </w:tc>
        <w:tc>
          <w:tcPr>
            <w:tcW w:type="dxa" w:w="1560"/>
          </w:tcPr>
          <w:p>
            <w:pPr>
              <w:spacing w:line="240" w:lineRule="auto"/>
            </w:pPr>
            <w:r/>
            <w:r>
              <w:rPr>
                <w:rFonts w:ascii="Times New Roman" w:hAnsi="Times New Roman"/>
                <w:sz w:val="18"/>
              </w:rPr>
            </w:r>
          </w:p>
        </w:tc>
        <w:tc>
          <w:tcPr>
            <w:tcW w:type="dxa" w:w="1560"/>
          </w:tcPr>
          <w:p>
            <w:pPr>
              <w:spacing w:line="240" w:lineRule="auto"/>
            </w:pPr>
            <w:r/>
            <w:r>
              <w:rPr>
                <w:rFonts w:ascii="Times New Roman" w:hAnsi="Times New Roman"/>
                <w:sz w:val="18"/>
              </w:rPr>
            </w:r>
          </w:p>
        </w:tc>
        <w:tc>
          <w:tcPr>
            <w:tcW w:type="dxa" w:w="1560"/>
          </w:tcPr>
          <w:p>
            <w:pPr>
              <w:spacing w:line="240" w:lineRule="auto"/>
            </w:pPr>
            <w:r/>
            <w:r>
              <w:rPr>
                <w:rFonts w:ascii="Times New Roman" w:hAnsi="Times New Roman"/>
                <w:sz w:val="18"/>
              </w:rPr>
            </w:r>
          </w:p>
        </w:tc>
        <w:tc>
          <w:tcPr>
            <w:tcW w:type="dxa" w:w="1560"/>
          </w:tcPr>
          <w:p>
            <w:pPr>
              <w:spacing w:line="240" w:lineRule="auto"/>
            </w:pPr>
            <w:r/>
            <w:r>
              <w:rPr>
                <w:rFonts w:ascii="Times New Roman" w:hAnsi="Times New Roman"/>
                <w:sz w:val="18"/>
              </w:rPr>
            </w:r>
          </w:p>
        </w:tc>
      </w:tr>
      <w:tr>
        <w:tc>
          <w:tcPr>
            <w:tcW w:type="dxa" w:w="1560"/>
          </w:tcPr>
          <w:p>
            <w:pPr>
              <w:spacing w:line="240" w:lineRule="auto"/>
            </w:pPr>
            <w:r/>
            <w:r>
              <w:rPr>
                <w:rFonts w:ascii="Times New Roman" w:hAnsi="Times New Roman"/>
                <w:sz w:val="18"/>
              </w:rPr>
              <w:t>PTC</w:t>
            </w:r>
          </w:p>
        </w:tc>
        <w:tc>
          <w:tcPr>
            <w:tcW w:type="dxa" w:w="1560"/>
          </w:tcPr>
          <w:p>
            <w:pPr>
              <w:spacing w:line="240" w:lineRule="auto"/>
            </w:pPr>
            <w:r/>
            <w:r>
              <w:rPr>
                <w:rFonts w:ascii="Times New Roman" w:hAnsi="Times New Roman"/>
                <w:sz w:val="18"/>
              </w:rPr>
              <w:t>57 (83.8%)</w:t>
            </w:r>
          </w:p>
        </w:tc>
        <w:tc>
          <w:tcPr>
            <w:tcW w:type="dxa" w:w="1560"/>
          </w:tcPr>
          <w:p>
            <w:pPr>
              <w:spacing w:line="240" w:lineRule="auto"/>
            </w:pPr>
            <w:r/>
            <w:r>
              <w:rPr>
                <w:rFonts w:ascii="Times New Roman" w:hAnsi="Times New Roman"/>
                <w:sz w:val="18"/>
              </w:rPr>
              <w:t>1,986 (84.2%)</w:t>
            </w:r>
          </w:p>
        </w:tc>
        <w:tc>
          <w:tcPr>
            <w:tcW w:type="dxa" w:w="1560"/>
          </w:tcPr>
          <w:p>
            <w:pPr>
              <w:spacing w:line="240" w:lineRule="auto"/>
            </w:pPr>
            <w:r/>
            <w:r>
              <w:rPr>
                <w:rFonts w:ascii="Times New Roman" w:hAnsi="Times New Roman"/>
                <w:sz w:val="18"/>
              </w:rPr>
              <w:t>1,008 (87.6%)</w:t>
            </w:r>
          </w:p>
        </w:tc>
        <w:tc>
          <w:tcPr>
            <w:tcW w:type="dxa" w:w="1560"/>
          </w:tcPr>
          <w:p>
            <w:pPr>
              <w:spacing w:line="240" w:lineRule="auto"/>
            </w:pPr>
            <w:r/>
            <w:r>
              <w:rPr>
                <w:rFonts w:ascii="Times New Roman" w:hAnsi="Times New Roman"/>
                <w:sz w:val="18"/>
              </w:rPr>
              <w:t>3,051 (85.3%)</w:t>
            </w:r>
          </w:p>
        </w:tc>
        <w:tc>
          <w:tcPr>
            <w:tcW w:type="dxa" w:w="1560"/>
          </w:tcPr>
          <w:p>
            <w:pPr>
              <w:spacing w:line="240" w:lineRule="auto"/>
            </w:pPr>
            <w:r/>
            <w:r>
              <w:rPr>
                <w:rFonts w:ascii="Times New Roman" w:hAnsi="Times New Roman"/>
                <w:sz w:val="18"/>
              </w:rPr>
              <w:t>0.028</w:t>
            </w:r>
          </w:p>
        </w:tc>
      </w:tr>
      <w:tr>
        <w:tc>
          <w:tcPr>
            <w:tcW w:type="dxa" w:w="1560"/>
          </w:tcPr>
          <w:p>
            <w:pPr>
              <w:spacing w:line="240" w:lineRule="auto"/>
            </w:pPr>
            <w:r/>
            <w:r>
              <w:rPr>
                <w:rFonts w:ascii="Times New Roman" w:hAnsi="Times New Roman"/>
                <w:sz w:val="18"/>
              </w:rPr>
              <w:t>FTC</w:t>
            </w:r>
          </w:p>
        </w:tc>
        <w:tc>
          <w:tcPr>
            <w:tcW w:type="dxa" w:w="1560"/>
          </w:tcPr>
          <w:p>
            <w:pPr>
              <w:spacing w:line="240" w:lineRule="auto"/>
            </w:pPr>
            <w:r/>
            <w:r>
              <w:rPr>
                <w:rFonts w:ascii="Times New Roman" w:hAnsi="Times New Roman"/>
                <w:sz w:val="18"/>
              </w:rPr>
              <w:t>9 (13.2%)</w:t>
            </w:r>
          </w:p>
        </w:tc>
        <w:tc>
          <w:tcPr>
            <w:tcW w:type="dxa" w:w="1560"/>
          </w:tcPr>
          <w:p>
            <w:pPr>
              <w:spacing w:line="240" w:lineRule="auto"/>
            </w:pPr>
            <w:r/>
            <w:r>
              <w:rPr>
                <w:rFonts w:ascii="Times New Roman" w:hAnsi="Times New Roman"/>
                <w:sz w:val="18"/>
              </w:rPr>
              <w:t>352 (14.9%)</w:t>
            </w:r>
          </w:p>
        </w:tc>
        <w:tc>
          <w:tcPr>
            <w:tcW w:type="dxa" w:w="1560"/>
          </w:tcPr>
          <w:p>
            <w:pPr>
              <w:spacing w:line="240" w:lineRule="auto"/>
            </w:pPr>
            <w:r/>
            <w:r>
              <w:rPr>
                <w:rFonts w:ascii="Times New Roman" w:hAnsi="Times New Roman"/>
                <w:sz w:val="18"/>
              </w:rPr>
              <w:t>120 (10.4%)</w:t>
            </w:r>
          </w:p>
        </w:tc>
        <w:tc>
          <w:tcPr>
            <w:tcW w:type="dxa" w:w="1560"/>
          </w:tcPr>
          <w:p>
            <w:pPr>
              <w:spacing w:line="240" w:lineRule="auto"/>
            </w:pPr>
            <w:r/>
            <w:r>
              <w:rPr>
                <w:rFonts w:ascii="Times New Roman" w:hAnsi="Times New Roman"/>
                <w:sz w:val="18"/>
              </w:rPr>
              <w:t>481 (13.4%)</w:t>
            </w:r>
          </w:p>
        </w:tc>
        <w:tc>
          <w:tcPr>
            <w:tcW w:type="dxa" w:w="1560"/>
          </w:tcPr>
          <w:p>
            <w:pPr>
              <w:spacing w:line="240" w:lineRule="auto"/>
            </w:pPr>
            <w:r/>
            <w:r>
              <w:rPr>
                <w:rFonts w:ascii="Times New Roman" w:hAnsi="Times New Roman"/>
                <w:sz w:val="18"/>
              </w:rPr>
              <w:t>0.001</w:t>
            </w:r>
          </w:p>
        </w:tc>
      </w:tr>
      <w:tr>
        <w:tc>
          <w:tcPr>
            <w:tcW w:type="dxa" w:w="1560"/>
          </w:tcPr>
          <w:p>
            <w:pPr>
              <w:spacing w:line="240" w:lineRule="auto"/>
            </w:pPr>
            <w:r/>
            <w:r>
              <w:rPr>
                <w:rFonts w:ascii="Times New Roman" w:hAnsi="Times New Roman"/>
                <w:sz w:val="18"/>
              </w:rPr>
              <w:t>Poorly-differentiated DTC</w:t>
            </w:r>
          </w:p>
        </w:tc>
        <w:tc>
          <w:tcPr>
            <w:tcW w:type="dxa" w:w="1560"/>
          </w:tcPr>
          <w:p>
            <w:pPr>
              <w:spacing w:line="240" w:lineRule="auto"/>
            </w:pPr>
            <w:r/>
            <w:r>
              <w:rPr>
                <w:rFonts w:ascii="Times New Roman" w:hAnsi="Times New Roman"/>
                <w:sz w:val="18"/>
              </w:rPr>
              <w:t>2 (2.9%)</w:t>
            </w:r>
          </w:p>
        </w:tc>
        <w:tc>
          <w:tcPr>
            <w:tcW w:type="dxa" w:w="1560"/>
          </w:tcPr>
          <w:p>
            <w:pPr>
              <w:spacing w:line="240" w:lineRule="auto"/>
            </w:pPr>
            <w:r/>
            <w:r>
              <w:rPr>
                <w:rFonts w:ascii="Times New Roman" w:hAnsi="Times New Roman"/>
                <w:sz w:val="18"/>
              </w:rPr>
              <w:t>14 (0.6%)</w:t>
            </w:r>
          </w:p>
        </w:tc>
        <w:tc>
          <w:tcPr>
            <w:tcW w:type="dxa" w:w="1560"/>
          </w:tcPr>
          <w:p>
            <w:pPr>
              <w:spacing w:line="240" w:lineRule="auto"/>
            </w:pPr>
            <w:r/>
            <w:r>
              <w:rPr>
                <w:rFonts w:ascii="Times New Roman" w:hAnsi="Times New Roman"/>
                <w:sz w:val="18"/>
              </w:rPr>
              <w:t>20 (1.7%)</w:t>
            </w:r>
          </w:p>
        </w:tc>
        <w:tc>
          <w:tcPr>
            <w:tcW w:type="dxa" w:w="1560"/>
          </w:tcPr>
          <w:p>
            <w:pPr>
              <w:spacing w:line="240" w:lineRule="auto"/>
            </w:pPr>
            <w:r/>
            <w:r>
              <w:rPr>
                <w:rFonts w:ascii="Times New Roman" w:hAnsi="Times New Roman"/>
                <w:sz w:val="18"/>
              </w:rPr>
              <w:t>36 (1.0%)</w:t>
            </w:r>
          </w:p>
        </w:tc>
        <w:tc>
          <w:tcPr>
            <w:tcW w:type="dxa" w:w="1560"/>
          </w:tcPr>
          <w:p>
            <w:pPr>
              <w:spacing w:line="240" w:lineRule="auto"/>
            </w:pPr>
            <w:r/>
            <w:r>
              <w:rPr>
                <w:rFonts w:ascii="Times New Roman" w:hAnsi="Times New Roman"/>
                <w:sz w:val="18"/>
              </w:rPr>
              <w:t>0.002</w:t>
            </w:r>
          </w:p>
        </w:tc>
      </w:tr>
      <w:tr>
        <w:tc>
          <w:tcPr>
            <w:tcW w:type="dxa" w:w="1560"/>
          </w:tcPr>
          <w:p>
            <w:pPr>
              <w:spacing w:line="240" w:lineRule="auto"/>
            </w:pPr>
            <w:r/>
            <w:r>
              <w:rPr>
                <w:rFonts w:ascii="Times New Roman" w:hAnsi="Times New Roman"/>
                <w:sz w:val="18"/>
              </w:rPr>
              <w:t>High-grade DTC</w:t>
            </w:r>
          </w:p>
        </w:tc>
        <w:tc>
          <w:tcPr>
            <w:tcW w:type="dxa" w:w="1560"/>
          </w:tcPr>
          <w:p>
            <w:pPr>
              <w:spacing w:line="240" w:lineRule="auto"/>
            </w:pPr>
            <w:r/>
            <w:r>
              <w:rPr>
                <w:rFonts w:ascii="Times New Roman" w:hAnsi="Times New Roman"/>
                <w:sz w:val="18"/>
              </w:rPr>
              <w:t>0 (0.0%)</w:t>
            </w:r>
          </w:p>
        </w:tc>
        <w:tc>
          <w:tcPr>
            <w:tcW w:type="dxa" w:w="1560"/>
          </w:tcPr>
          <w:p>
            <w:pPr>
              <w:spacing w:line="240" w:lineRule="auto"/>
            </w:pPr>
            <w:r/>
            <w:r>
              <w:rPr>
                <w:rFonts w:ascii="Times New Roman" w:hAnsi="Times New Roman"/>
                <w:sz w:val="18"/>
              </w:rPr>
              <w:t>7 (0.3%)</w:t>
            </w:r>
          </w:p>
        </w:tc>
        <w:tc>
          <w:tcPr>
            <w:tcW w:type="dxa" w:w="1560"/>
          </w:tcPr>
          <w:p>
            <w:pPr>
              <w:spacing w:line="240" w:lineRule="auto"/>
            </w:pPr>
            <w:r/>
            <w:r>
              <w:rPr>
                <w:rFonts w:ascii="Times New Roman" w:hAnsi="Times New Roman"/>
                <w:sz w:val="18"/>
              </w:rPr>
              <w:t>3 (0.3%)</w:t>
            </w:r>
          </w:p>
        </w:tc>
        <w:tc>
          <w:tcPr>
            <w:tcW w:type="dxa" w:w="1560"/>
          </w:tcPr>
          <w:p>
            <w:pPr>
              <w:spacing w:line="240" w:lineRule="auto"/>
            </w:pPr>
            <w:r/>
            <w:r>
              <w:rPr>
                <w:rFonts w:ascii="Times New Roman" w:hAnsi="Times New Roman"/>
                <w:sz w:val="18"/>
              </w:rPr>
              <w:t>10 (0.3%)</w:t>
            </w:r>
          </w:p>
        </w:tc>
        <w:tc>
          <w:tcPr>
            <w:tcW w:type="dxa" w:w="1560"/>
          </w:tcPr>
          <w:p>
            <w:pPr>
              <w:spacing w:line="240" w:lineRule="auto"/>
            </w:pPr>
            <w:r/>
            <w:r>
              <w:rPr>
                <w:rFonts w:ascii="Times New Roman" w:hAnsi="Times New Roman"/>
                <w:sz w:val="18"/>
              </w:rPr>
              <w:t>0.891</w:t>
            </w:r>
          </w:p>
        </w:tc>
      </w:tr>
      <w:tr>
        <w:tc>
          <w:tcPr>
            <w:tcW w:type="dxa" w:w="1560"/>
          </w:tcPr>
          <w:p>
            <w:pPr>
              <w:spacing w:line="240" w:lineRule="auto"/>
            </w:pPr>
            <w:r/>
            <w:r>
              <w:rPr>
                <w:rFonts w:ascii="Times New Roman" w:hAnsi="Times New Roman"/>
                <w:sz w:val="18"/>
              </w:rPr>
              <w:t>Lymphatic / vascular invasion</w:t>
            </w:r>
          </w:p>
        </w:tc>
        <w:tc>
          <w:tcPr>
            <w:tcW w:type="dxa" w:w="1560"/>
          </w:tcPr>
          <w:p>
            <w:pPr>
              <w:spacing w:line="240" w:lineRule="auto"/>
            </w:pPr>
            <w:r/>
            <w:r>
              <w:rPr>
                <w:rFonts w:ascii="Times New Roman" w:hAnsi="Times New Roman"/>
                <w:sz w:val="18"/>
              </w:rPr>
            </w:r>
          </w:p>
        </w:tc>
        <w:tc>
          <w:tcPr>
            <w:tcW w:type="dxa" w:w="1560"/>
          </w:tcPr>
          <w:p>
            <w:pPr>
              <w:spacing w:line="240" w:lineRule="auto"/>
            </w:pPr>
            <w:r/>
            <w:r>
              <w:rPr>
                <w:rFonts w:ascii="Times New Roman" w:hAnsi="Times New Roman"/>
                <w:sz w:val="18"/>
              </w:rPr>
            </w:r>
          </w:p>
        </w:tc>
        <w:tc>
          <w:tcPr>
            <w:tcW w:type="dxa" w:w="1560"/>
          </w:tcPr>
          <w:p>
            <w:pPr>
              <w:spacing w:line="240" w:lineRule="auto"/>
            </w:pPr>
            <w:r/>
            <w:r>
              <w:rPr>
                <w:rFonts w:ascii="Times New Roman" w:hAnsi="Times New Roman"/>
                <w:sz w:val="18"/>
              </w:rPr>
            </w:r>
          </w:p>
        </w:tc>
        <w:tc>
          <w:tcPr>
            <w:tcW w:type="dxa" w:w="1560"/>
          </w:tcPr>
          <w:p>
            <w:pPr>
              <w:spacing w:line="240" w:lineRule="auto"/>
            </w:pPr>
            <w:r/>
            <w:r>
              <w:rPr>
                <w:rFonts w:ascii="Times New Roman" w:hAnsi="Times New Roman"/>
                <w:sz w:val="18"/>
              </w:rPr>
            </w:r>
          </w:p>
        </w:tc>
        <w:tc>
          <w:tcPr>
            <w:tcW w:type="dxa" w:w="1560"/>
          </w:tcPr>
          <w:p>
            <w:pPr>
              <w:spacing w:line="240" w:lineRule="auto"/>
            </w:pPr>
            <w:r/>
            <w:r>
              <w:rPr>
                <w:rFonts w:ascii="Times New Roman" w:hAnsi="Times New Roman"/>
                <w:sz w:val="18"/>
              </w:rPr>
            </w:r>
          </w:p>
        </w:tc>
      </w:tr>
      <w:tr>
        <w:tc>
          <w:tcPr>
            <w:tcW w:type="dxa" w:w="1560"/>
          </w:tcPr>
          <w:p>
            <w:pPr>
              <w:spacing w:line="240" w:lineRule="auto"/>
            </w:pPr>
            <w:r/>
            <w:r>
              <w:rPr>
                <w:rFonts w:ascii="Times New Roman" w:hAnsi="Times New Roman"/>
                <w:sz w:val="18"/>
              </w:rPr>
              <w:t>Lymphatic: present</w:t>
            </w:r>
          </w:p>
        </w:tc>
        <w:tc>
          <w:tcPr>
            <w:tcW w:type="dxa" w:w="1560"/>
          </w:tcPr>
          <w:p>
            <w:pPr>
              <w:spacing w:line="240" w:lineRule="auto"/>
            </w:pPr>
            <w:r/>
            <w:r>
              <w:rPr>
                <w:rFonts w:ascii="Times New Roman" w:hAnsi="Times New Roman"/>
                <w:sz w:val="18"/>
              </w:rPr>
              <w:t>7 (10.3%)</w:t>
            </w:r>
          </w:p>
        </w:tc>
        <w:tc>
          <w:tcPr>
            <w:tcW w:type="dxa" w:w="1560"/>
          </w:tcPr>
          <w:p>
            <w:pPr>
              <w:spacing w:line="240" w:lineRule="auto"/>
            </w:pPr>
            <w:r/>
            <w:r>
              <w:rPr>
                <w:rFonts w:ascii="Times New Roman" w:hAnsi="Times New Roman"/>
                <w:sz w:val="18"/>
              </w:rPr>
              <w:t>286 (12.1%)</w:t>
            </w:r>
          </w:p>
        </w:tc>
        <w:tc>
          <w:tcPr>
            <w:tcW w:type="dxa" w:w="1560"/>
          </w:tcPr>
          <w:p>
            <w:pPr>
              <w:spacing w:line="240" w:lineRule="auto"/>
            </w:pPr>
            <w:r/>
            <w:r>
              <w:rPr>
                <w:rFonts w:ascii="Times New Roman" w:hAnsi="Times New Roman"/>
                <w:sz w:val="18"/>
              </w:rPr>
              <w:t>318 (27.6%)</w:t>
            </w:r>
          </w:p>
        </w:tc>
        <w:tc>
          <w:tcPr>
            <w:tcW w:type="dxa" w:w="1560"/>
          </w:tcPr>
          <w:p>
            <w:pPr>
              <w:spacing w:line="240" w:lineRule="auto"/>
            </w:pPr>
            <w:r/>
            <w:r>
              <w:rPr>
                <w:rFonts w:ascii="Times New Roman" w:hAnsi="Times New Roman"/>
                <w:sz w:val="18"/>
              </w:rPr>
              <w:t>611 (17.1%)</w:t>
            </w:r>
          </w:p>
        </w:tc>
        <w:tc>
          <w:tcPr>
            <w:tcW w:type="dxa" w:w="1560"/>
          </w:tcPr>
          <w:p>
            <w:pPr>
              <w:spacing w:line="240" w:lineRule="auto"/>
            </w:pPr>
            <w:r/>
            <w:r>
              <w:rPr>
                <w:rFonts w:ascii="Times New Roman" w:hAnsi="Times New Roman"/>
                <w:sz w:val="18"/>
              </w:rPr>
              <w:t>&lt;0.001</w:t>
            </w:r>
          </w:p>
        </w:tc>
      </w:tr>
      <w:tr>
        <w:tc>
          <w:tcPr>
            <w:tcW w:type="dxa" w:w="1560"/>
          </w:tcPr>
          <w:p>
            <w:pPr>
              <w:spacing w:line="240" w:lineRule="auto"/>
            </w:pPr>
            <w:r/>
            <w:r>
              <w:rPr>
                <w:rFonts w:ascii="Times New Roman" w:hAnsi="Times New Roman"/>
                <w:sz w:val="18"/>
              </w:rPr>
              <w:t>Lymphatic: extensive</w:t>
            </w:r>
          </w:p>
        </w:tc>
        <w:tc>
          <w:tcPr>
            <w:tcW w:type="dxa" w:w="1560"/>
          </w:tcPr>
          <w:p>
            <w:pPr>
              <w:spacing w:line="240" w:lineRule="auto"/>
            </w:pPr>
            <w:r/>
            <w:r>
              <w:rPr>
                <w:rFonts w:ascii="Times New Roman" w:hAnsi="Times New Roman"/>
                <w:sz w:val="18"/>
              </w:rPr>
              <w:t>0 (0.0%)</w:t>
            </w:r>
          </w:p>
        </w:tc>
        <w:tc>
          <w:tcPr>
            <w:tcW w:type="dxa" w:w="1560"/>
          </w:tcPr>
          <w:p>
            <w:pPr>
              <w:spacing w:line="240" w:lineRule="auto"/>
            </w:pPr>
            <w:r/>
            <w:r>
              <w:rPr>
                <w:rFonts w:ascii="Times New Roman" w:hAnsi="Times New Roman"/>
                <w:sz w:val="18"/>
              </w:rPr>
              <w:t>23 (1.0%)</w:t>
            </w:r>
          </w:p>
        </w:tc>
        <w:tc>
          <w:tcPr>
            <w:tcW w:type="dxa" w:w="1560"/>
          </w:tcPr>
          <w:p>
            <w:pPr>
              <w:spacing w:line="240" w:lineRule="auto"/>
            </w:pPr>
            <w:r/>
            <w:r>
              <w:rPr>
                <w:rFonts w:ascii="Times New Roman" w:hAnsi="Times New Roman"/>
                <w:sz w:val="18"/>
              </w:rPr>
              <w:t>28 (2.4%)</w:t>
            </w:r>
          </w:p>
        </w:tc>
        <w:tc>
          <w:tcPr>
            <w:tcW w:type="dxa" w:w="1560"/>
          </w:tcPr>
          <w:p>
            <w:pPr>
              <w:spacing w:line="240" w:lineRule="auto"/>
            </w:pPr>
            <w:r/>
            <w:r>
              <w:rPr>
                <w:rFonts w:ascii="Times New Roman" w:hAnsi="Times New Roman"/>
                <w:sz w:val="18"/>
              </w:rPr>
              <w:t>51 (1.4%)</w:t>
            </w:r>
          </w:p>
        </w:tc>
        <w:tc>
          <w:tcPr>
            <w:tcW w:type="dxa" w:w="1560"/>
          </w:tcPr>
          <w:p>
            <w:pPr>
              <w:spacing w:line="240" w:lineRule="auto"/>
            </w:pPr>
            <w:r/>
            <w:r>
              <w:rPr>
                <w:rFonts w:ascii="Times New Roman" w:hAnsi="Times New Roman"/>
                <w:sz w:val="18"/>
              </w:rPr>
              <w:t>0.002</w:t>
            </w:r>
          </w:p>
        </w:tc>
      </w:tr>
      <w:tr>
        <w:tc>
          <w:tcPr>
            <w:tcW w:type="dxa" w:w="1560"/>
          </w:tcPr>
          <w:p>
            <w:pPr>
              <w:spacing w:line="240" w:lineRule="auto"/>
            </w:pPr>
            <w:r/>
            <w:r>
              <w:rPr>
                <w:rFonts w:ascii="Times New Roman" w:hAnsi="Times New Roman"/>
                <w:sz w:val="18"/>
              </w:rPr>
              <w:t>Lymphatic: focal</w:t>
            </w:r>
          </w:p>
        </w:tc>
        <w:tc>
          <w:tcPr>
            <w:tcW w:type="dxa" w:w="1560"/>
          </w:tcPr>
          <w:p>
            <w:pPr>
              <w:spacing w:line="240" w:lineRule="auto"/>
            </w:pPr>
            <w:r/>
            <w:r>
              <w:rPr>
                <w:rFonts w:ascii="Times New Roman" w:hAnsi="Times New Roman"/>
                <w:sz w:val="18"/>
              </w:rPr>
              <w:t>0 (0.0%)</w:t>
            </w:r>
          </w:p>
        </w:tc>
        <w:tc>
          <w:tcPr>
            <w:tcW w:type="dxa" w:w="1560"/>
          </w:tcPr>
          <w:p>
            <w:pPr>
              <w:spacing w:line="240" w:lineRule="auto"/>
            </w:pPr>
            <w:r/>
            <w:r>
              <w:rPr>
                <w:rFonts w:ascii="Times New Roman" w:hAnsi="Times New Roman"/>
                <w:sz w:val="18"/>
              </w:rPr>
              <w:t>4 (0.2%)</w:t>
            </w:r>
          </w:p>
        </w:tc>
        <w:tc>
          <w:tcPr>
            <w:tcW w:type="dxa" w:w="1560"/>
          </w:tcPr>
          <w:p>
            <w:pPr>
              <w:spacing w:line="240" w:lineRule="auto"/>
            </w:pPr>
            <w:r/>
            <w:r>
              <w:rPr>
                <w:rFonts w:ascii="Times New Roman" w:hAnsi="Times New Roman"/>
                <w:sz w:val="18"/>
              </w:rPr>
              <w:t>2 (0.2%)</w:t>
            </w:r>
          </w:p>
        </w:tc>
        <w:tc>
          <w:tcPr>
            <w:tcW w:type="dxa" w:w="1560"/>
          </w:tcPr>
          <w:p>
            <w:pPr>
              <w:spacing w:line="240" w:lineRule="auto"/>
            </w:pPr>
            <w:r/>
            <w:r>
              <w:rPr>
                <w:rFonts w:ascii="Times New Roman" w:hAnsi="Times New Roman"/>
                <w:sz w:val="18"/>
              </w:rPr>
              <w:t>6 (0.2%)</w:t>
            </w:r>
          </w:p>
        </w:tc>
        <w:tc>
          <w:tcPr>
            <w:tcW w:type="dxa" w:w="1560"/>
          </w:tcPr>
          <w:p>
            <w:pPr>
              <w:spacing w:line="240" w:lineRule="auto"/>
            </w:pPr>
            <w:r/>
            <w:r>
              <w:rPr>
                <w:rFonts w:ascii="Times New Roman" w:hAnsi="Times New Roman"/>
                <w:sz w:val="18"/>
              </w:rPr>
              <w:t>0.943</w:t>
            </w:r>
          </w:p>
        </w:tc>
      </w:tr>
      <w:tr>
        <w:tc>
          <w:tcPr>
            <w:tcW w:type="dxa" w:w="1560"/>
          </w:tcPr>
          <w:p>
            <w:pPr>
              <w:spacing w:line="240" w:lineRule="auto"/>
            </w:pPr>
            <w:r/>
            <w:r>
              <w:rPr>
                <w:rFonts w:ascii="Times New Roman" w:hAnsi="Times New Roman"/>
                <w:sz w:val="18"/>
              </w:rPr>
              <w:t>Lymphatic: indeterminate</w:t>
            </w:r>
          </w:p>
        </w:tc>
        <w:tc>
          <w:tcPr>
            <w:tcW w:type="dxa" w:w="1560"/>
          </w:tcPr>
          <w:p>
            <w:pPr>
              <w:spacing w:line="240" w:lineRule="auto"/>
            </w:pPr>
            <w:r/>
            <w:r>
              <w:rPr>
                <w:rFonts w:ascii="Times New Roman" w:hAnsi="Times New Roman"/>
                <w:sz w:val="18"/>
              </w:rPr>
              <w:t>0 (0.0%)</w:t>
            </w:r>
          </w:p>
        </w:tc>
        <w:tc>
          <w:tcPr>
            <w:tcW w:type="dxa" w:w="1560"/>
          </w:tcPr>
          <w:p>
            <w:pPr>
              <w:spacing w:line="240" w:lineRule="auto"/>
            </w:pPr>
            <w:r/>
            <w:r>
              <w:rPr>
                <w:rFonts w:ascii="Times New Roman" w:hAnsi="Times New Roman"/>
                <w:sz w:val="18"/>
              </w:rPr>
              <w:t>94 (4.0%)</w:t>
            </w:r>
          </w:p>
        </w:tc>
        <w:tc>
          <w:tcPr>
            <w:tcW w:type="dxa" w:w="1560"/>
          </w:tcPr>
          <w:p>
            <w:pPr>
              <w:spacing w:line="240" w:lineRule="auto"/>
            </w:pPr>
            <w:r/>
            <w:r>
              <w:rPr>
                <w:rFonts w:ascii="Times New Roman" w:hAnsi="Times New Roman"/>
                <w:sz w:val="18"/>
              </w:rPr>
              <w:t>66 (5.7%)</w:t>
            </w:r>
          </w:p>
        </w:tc>
        <w:tc>
          <w:tcPr>
            <w:tcW w:type="dxa" w:w="1560"/>
          </w:tcPr>
          <w:p>
            <w:pPr>
              <w:spacing w:line="240" w:lineRule="auto"/>
            </w:pPr>
            <w:r/>
            <w:r>
              <w:rPr>
                <w:rFonts w:ascii="Times New Roman" w:hAnsi="Times New Roman"/>
                <w:sz w:val="18"/>
              </w:rPr>
              <w:t>160 (4.5%)</w:t>
            </w:r>
          </w:p>
        </w:tc>
        <w:tc>
          <w:tcPr>
            <w:tcW w:type="dxa" w:w="1560"/>
          </w:tcPr>
          <w:p>
            <w:pPr>
              <w:spacing w:line="240" w:lineRule="auto"/>
            </w:pPr>
            <w:r/>
            <w:r>
              <w:rPr>
                <w:rFonts w:ascii="Times New Roman" w:hAnsi="Times New Roman"/>
                <w:sz w:val="18"/>
              </w:rPr>
              <w:t>0.012</w:t>
            </w:r>
          </w:p>
        </w:tc>
      </w:tr>
      <w:tr>
        <w:tc>
          <w:tcPr>
            <w:tcW w:type="dxa" w:w="1560"/>
          </w:tcPr>
          <w:p>
            <w:pPr>
              <w:spacing w:line="240" w:lineRule="auto"/>
            </w:pPr>
            <w:r/>
            <w:r>
              <w:rPr>
                <w:rFonts w:ascii="Times New Roman" w:hAnsi="Times New Roman"/>
                <w:sz w:val="18"/>
              </w:rPr>
              <w:t>Lymphatic: missing</w:t>
            </w:r>
          </w:p>
        </w:tc>
        <w:tc>
          <w:tcPr>
            <w:tcW w:type="dxa" w:w="1560"/>
          </w:tcPr>
          <w:p>
            <w:pPr>
              <w:spacing w:line="240" w:lineRule="auto"/>
            </w:pPr>
            <w:r/>
            <w:r>
              <w:rPr>
                <w:rFonts w:ascii="Times New Roman" w:hAnsi="Times New Roman"/>
                <w:sz w:val="18"/>
              </w:rPr>
              <w:t>61 (89.7%)</w:t>
            </w:r>
          </w:p>
        </w:tc>
        <w:tc>
          <w:tcPr>
            <w:tcW w:type="dxa" w:w="1560"/>
          </w:tcPr>
          <w:p>
            <w:pPr>
              <w:spacing w:line="240" w:lineRule="auto"/>
            </w:pPr>
            <w:r/>
            <w:r>
              <w:rPr>
                <w:rFonts w:ascii="Times New Roman" w:hAnsi="Times New Roman"/>
                <w:sz w:val="18"/>
              </w:rPr>
              <w:t>1,952 (82.7%)</w:t>
            </w:r>
          </w:p>
        </w:tc>
        <w:tc>
          <w:tcPr>
            <w:tcW w:type="dxa" w:w="1560"/>
          </w:tcPr>
          <w:p>
            <w:pPr>
              <w:spacing w:line="240" w:lineRule="auto"/>
            </w:pPr>
            <w:r/>
            <w:r>
              <w:rPr>
                <w:rFonts w:ascii="Times New Roman" w:hAnsi="Times New Roman"/>
                <w:sz w:val="18"/>
              </w:rPr>
              <w:t>737 (64.0%)</w:t>
            </w:r>
          </w:p>
        </w:tc>
        <w:tc>
          <w:tcPr>
            <w:tcW w:type="dxa" w:w="1560"/>
          </w:tcPr>
          <w:p>
            <w:pPr>
              <w:spacing w:line="240" w:lineRule="auto"/>
            </w:pPr>
            <w:r/>
            <w:r>
              <w:rPr>
                <w:rFonts w:ascii="Times New Roman" w:hAnsi="Times New Roman"/>
                <w:sz w:val="18"/>
              </w:rPr>
              <w:t>2,750 (76.9%)</w:t>
            </w:r>
          </w:p>
        </w:tc>
        <w:tc>
          <w:tcPr>
            <w:tcW w:type="dxa" w:w="1560"/>
          </w:tcPr>
          <w:p>
            <w:pPr>
              <w:spacing w:line="240" w:lineRule="auto"/>
            </w:pPr>
            <w:r/>
            <w:r>
              <w:rPr>
                <w:rFonts w:ascii="Times New Roman" w:hAnsi="Times New Roman"/>
                <w:sz w:val="18"/>
              </w:rPr>
              <w:t>&lt;0.001</w:t>
            </w:r>
          </w:p>
        </w:tc>
      </w:tr>
      <w:tr>
        <w:tc>
          <w:tcPr>
            <w:tcW w:type="dxa" w:w="1560"/>
          </w:tcPr>
          <w:p>
            <w:pPr>
              <w:spacing w:line="240" w:lineRule="auto"/>
            </w:pPr>
            <w:r/>
            <w:r>
              <w:rPr>
                <w:rFonts w:ascii="Times New Roman" w:hAnsi="Times New Roman"/>
                <w:sz w:val="18"/>
              </w:rPr>
              <w:t>Vascular: present-ungraded</w:t>
            </w:r>
          </w:p>
        </w:tc>
        <w:tc>
          <w:tcPr>
            <w:tcW w:type="dxa" w:w="1560"/>
          </w:tcPr>
          <w:p>
            <w:pPr>
              <w:spacing w:line="240" w:lineRule="auto"/>
            </w:pPr>
            <w:r/>
            <w:r>
              <w:rPr>
                <w:rFonts w:ascii="Times New Roman" w:hAnsi="Times New Roman"/>
                <w:sz w:val="18"/>
              </w:rPr>
              <w:t>11 (16.2%)</w:t>
            </w:r>
          </w:p>
        </w:tc>
        <w:tc>
          <w:tcPr>
            <w:tcW w:type="dxa" w:w="1560"/>
          </w:tcPr>
          <w:p>
            <w:pPr>
              <w:spacing w:line="240" w:lineRule="auto"/>
            </w:pPr>
            <w:r/>
            <w:r>
              <w:rPr>
                <w:rFonts w:ascii="Times New Roman" w:hAnsi="Times New Roman"/>
                <w:sz w:val="18"/>
              </w:rPr>
              <w:t>308 (13.1%)</w:t>
            </w:r>
          </w:p>
        </w:tc>
        <w:tc>
          <w:tcPr>
            <w:tcW w:type="dxa" w:w="1560"/>
          </w:tcPr>
          <w:p>
            <w:pPr>
              <w:spacing w:line="240" w:lineRule="auto"/>
            </w:pPr>
            <w:r/>
            <w:r>
              <w:rPr>
                <w:rFonts w:ascii="Times New Roman" w:hAnsi="Times New Roman"/>
                <w:sz w:val="18"/>
              </w:rPr>
              <w:t>297 (25.8%)</w:t>
            </w:r>
          </w:p>
        </w:tc>
        <w:tc>
          <w:tcPr>
            <w:tcW w:type="dxa" w:w="1560"/>
          </w:tcPr>
          <w:p>
            <w:pPr>
              <w:spacing w:line="240" w:lineRule="auto"/>
            </w:pPr>
            <w:r/>
            <w:r>
              <w:rPr>
                <w:rFonts w:ascii="Times New Roman" w:hAnsi="Times New Roman"/>
                <w:sz w:val="18"/>
              </w:rPr>
              <w:t>616 (17.2%)</w:t>
            </w:r>
          </w:p>
        </w:tc>
        <w:tc>
          <w:tcPr>
            <w:tcW w:type="dxa" w:w="1560"/>
          </w:tcPr>
          <w:p>
            <w:pPr>
              <w:spacing w:line="240" w:lineRule="auto"/>
            </w:pPr>
            <w:r/>
            <w:r>
              <w:rPr>
                <w:rFonts w:ascii="Times New Roman" w:hAnsi="Times New Roman"/>
                <w:sz w:val="18"/>
              </w:rPr>
              <w:t>&lt;0.001</w:t>
            </w:r>
          </w:p>
        </w:tc>
      </w:tr>
      <w:tr>
        <w:tc>
          <w:tcPr>
            <w:tcW w:type="dxa" w:w="1560"/>
          </w:tcPr>
          <w:p>
            <w:pPr>
              <w:spacing w:line="240" w:lineRule="auto"/>
            </w:pPr>
            <w:r/>
            <w:r>
              <w:rPr>
                <w:rFonts w:ascii="Times New Roman" w:hAnsi="Times New Roman"/>
                <w:sz w:val="18"/>
              </w:rPr>
              <w:t>Vascular: extensive</w:t>
            </w:r>
          </w:p>
        </w:tc>
        <w:tc>
          <w:tcPr>
            <w:tcW w:type="dxa" w:w="1560"/>
          </w:tcPr>
          <w:p>
            <w:pPr>
              <w:spacing w:line="240" w:lineRule="auto"/>
            </w:pPr>
            <w:r/>
            <w:r>
              <w:rPr>
                <w:rFonts w:ascii="Times New Roman" w:hAnsi="Times New Roman"/>
                <w:sz w:val="18"/>
              </w:rPr>
              <w:t>3 (4.4%)</w:t>
            </w:r>
          </w:p>
        </w:tc>
        <w:tc>
          <w:tcPr>
            <w:tcW w:type="dxa" w:w="1560"/>
          </w:tcPr>
          <w:p>
            <w:pPr>
              <w:spacing w:line="240" w:lineRule="auto"/>
            </w:pPr>
            <w:r/>
            <w:r>
              <w:rPr>
                <w:rFonts w:ascii="Times New Roman" w:hAnsi="Times New Roman"/>
                <w:sz w:val="18"/>
              </w:rPr>
              <w:t>68 (2.9%)</w:t>
            </w:r>
          </w:p>
        </w:tc>
        <w:tc>
          <w:tcPr>
            <w:tcW w:type="dxa" w:w="1560"/>
          </w:tcPr>
          <w:p>
            <w:pPr>
              <w:spacing w:line="240" w:lineRule="auto"/>
            </w:pPr>
            <w:r/>
            <w:r>
              <w:rPr>
                <w:rFonts w:ascii="Times New Roman" w:hAnsi="Times New Roman"/>
                <w:sz w:val="18"/>
              </w:rPr>
              <w:t>76 (6.6%)</w:t>
            </w:r>
          </w:p>
        </w:tc>
        <w:tc>
          <w:tcPr>
            <w:tcW w:type="dxa" w:w="1560"/>
          </w:tcPr>
          <w:p>
            <w:pPr>
              <w:spacing w:line="240" w:lineRule="auto"/>
            </w:pPr>
            <w:r/>
            <w:r>
              <w:rPr>
                <w:rFonts w:ascii="Times New Roman" w:hAnsi="Times New Roman"/>
                <w:sz w:val="18"/>
              </w:rPr>
              <w:t>147 (4.1%)</w:t>
            </w:r>
          </w:p>
        </w:tc>
        <w:tc>
          <w:tcPr>
            <w:tcW w:type="dxa" w:w="1560"/>
          </w:tcPr>
          <w:p>
            <w:pPr>
              <w:spacing w:line="240" w:lineRule="auto"/>
            </w:pPr>
            <w:r/>
            <w:r>
              <w:rPr>
                <w:rFonts w:ascii="Times New Roman" w:hAnsi="Times New Roman"/>
                <w:sz w:val="18"/>
              </w:rPr>
              <w:t>&lt;0.001</w:t>
            </w:r>
          </w:p>
        </w:tc>
      </w:tr>
      <w:tr>
        <w:tc>
          <w:tcPr>
            <w:tcW w:type="dxa" w:w="1560"/>
          </w:tcPr>
          <w:p>
            <w:pPr>
              <w:spacing w:line="240" w:lineRule="auto"/>
            </w:pPr>
            <w:r/>
            <w:r>
              <w:rPr>
                <w:rFonts w:ascii="Times New Roman" w:hAnsi="Times New Roman"/>
                <w:sz w:val="18"/>
              </w:rPr>
              <w:t>Vascular: focal</w:t>
            </w:r>
          </w:p>
        </w:tc>
        <w:tc>
          <w:tcPr>
            <w:tcW w:type="dxa" w:w="1560"/>
          </w:tcPr>
          <w:p>
            <w:pPr>
              <w:spacing w:line="240" w:lineRule="auto"/>
            </w:pPr>
            <w:r/>
            <w:r>
              <w:rPr>
                <w:rFonts w:ascii="Times New Roman" w:hAnsi="Times New Roman"/>
                <w:sz w:val="18"/>
              </w:rPr>
              <w:t>4 (5.9%)</w:t>
            </w:r>
          </w:p>
        </w:tc>
        <w:tc>
          <w:tcPr>
            <w:tcW w:type="dxa" w:w="1560"/>
          </w:tcPr>
          <w:p>
            <w:pPr>
              <w:spacing w:line="240" w:lineRule="auto"/>
            </w:pPr>
            <w:r/>
            <w:r>
              <w:rPr>
                <w:rFonts w:ascii="Times New Roman" w:hAnsi="Times New Roman"/>
                <w:sz w:val="18"/>
              </w:rPr>
              <w:t>150 (6.4%)</w:t>
            </w:r>
          </w:p>
        </w:tc>
        <w:tc>
          <w:tcPr>
            <w:tcW w:type="dxa" w:w="1560"/>
          </w:tcPr>
          <w:p>
            <w:pPr>
              <w:spacing w:line="240" w:lineRule="auto"/>
            </w:pPr>
            <w:r/>
            <w:r>
              <w:rPr>
                <w:rFonts w:ascii="Times New Roman" w:hAnsi="Times New Roman"/>
                <w:sz w:val="18"/>
              </w:rPr>
              <w:t>70 (6.1%)</w:t>
            </w:r>
          </w:p>
        </w:tc>
        <w:tc>
          <w:tcPr>
            <w:tcW w:type="dxa" w:w="1560"/>
          </w:tcPr>
          <w:p>
            <w:pPr>
              <w:spacing w:line="240" w:lineRule="auto"/>
            </w:pPr>
            <w:r/>
            <w:r>
              <w:rPr>
                <w:rFonts w:ascii="Times New Roman" w:hAnsi="Times New Roman"/>
                <w:sz w:val="18"/>
              </w:rPr>
              <w:t>224 (6.3%)</w:t>
            </w:r>
          </w:p>
        </w:tc>
        <w:tc>
          <w:tcPr>
            <w:tcW w:type="dxa" w:w="1560"/>
          </w:tcPr>
          <w:p>
            <w:pPr>
              <w:spacing w:line="240" w:lineRule="auto"/>
            </w:pPr>
            <w:r/>
            <w:r>
              <w:rPr>
                <w:rFonts w:ascii="Times New Roman" w:hAnsi="Times New Roman"/>
                <w:sz w:val="18"/>
              </w:rPr>
              <w:t>0.943</w:t>
            </w:r>
          </w:p>
        </w:tc>
      </w:tr>
      <w:tr>
        <w:tc>
          <w:tcPr>
            <w:tcW w:type="dxa" w:w="1560"/>
          </w:tcPr>
          <w:p>
            <w:pPr>
              <w:spacing w:line="240" w:lineRule="auto"/>
            </w:pPr>
            <w:r/>
            <w:r>
              <w:rPr>
                <w:rFonts w:ascii="Times New Roman" w:hAnsi="Times New Roman"/>
                <w:sz w:val="18"/>
              </w:rPr>
              <w:t>Vascular: indeterminate</w:t>
            </w:r>
          </w:p>
        </w:tc>
        <w:tc>
          <w:tcPr>
            <w:tcW w:type="dxa" w:w="1560"/>
          </w:tcPr>
          <w:p>
            <w:pPr>
              <w:spacing w:line="240" w:lineRule="auto"/>
            </w:pPr>
            <w:r/>
            <w:r>
              <w:rPr>
                <w:rFonts w:ascii="Times New Roman" w:hAnsi="Times New Roman"/>
                <w:sz w:val="18"/>
              </w:rPr>
              <w:t>1 (1.5%)</w:t>
            </w:r>
          </w:p>
        </w:tc>
        <w:tc>
          <w:tcPr>
            <w:tcW w:type="dxa" w:w="1560"/>
          </w:tcPr>
          <w:p>
            <w:pPr>
              <w:spacing w:line="240" w:lineRule="auto"/>
            </w:pPr>
            <w:r/>
            <w:r>
              <w:rPr>
                <w:rFonts w:ascii="Times New Roman" w:hAnsi="Times New Roman"/>
                <w:sz w:val="18"/>
              </w:rPr>
              <w:t>24 (1.0%)</w:t>
            </w:r>
          </w:p>
        </w:tc>
        <w:tc>
          <w:tcPr>
            <w:tcW w:type="dxa" w:w="1560"/>
          </w:tcPr>
          <w:p>
            <w:pPr>
              <w:spacing w:line="240" w:lineRule="auto"/>
            </w:pPr>
            <w:r/>
            <w:r>
              <w:rPr>
                <w:rFonts w:ascii="Times New Roman" w:hAnsi="Times New Roman"/>
                <w:sz w:val="18"/>
              </w:rPr>
              <w:t>23 (2.0%)</w:t>
            </w:r>
          </w:p>
        </w:tc>
        <w:tc>
          <w:tcPr>
            <w:tcW w:type="dxa" w:w="1560"/>
          </w:tcPr>
          <w:p>
            <w:pPr>
              <w:spacing w:line="240" w:lineRule="auto"/>
            </w:pPr>
            <w:r/>
            <w:r>
              <w:rPr>
                <w:rFonts w:ascii="Times New Roman" w:hAnsi="Times New Roman"/>
                <w:sz w:val="18"/>
              </w:rPr>
              <w:t>48 (1.3%)</w:t>
            </w:r>
          </w:p>
        </w:tc>
        <w:tc>
          <w:tcPr>
            <w:tcW w:type="dxa" w:w="1560"/>
          </w:tcPr>
          <w:p>
            <w:pPr>
              <w:spacing w:line="240" w:lineRule="auto"/>
            </w:pPr>
            <w:r/>
            <w:r>
              <w:rPr>
                <w:rFonts w:ascii="Times New Roman" w:hAnsi="Times New Roman"/>
                <w:sz w:val="18"/>
              </w:rPr>
              <w:t>0.060</w:t>
            </w:r>
          </w:p>
        </w:tc>
      </w:tr>
      <w:tr>
        <w:tc>
          <w:tcPr>
            <w:tcW w:type="dxa" w:w="1560"/>
          </w:tcPr>
          <w:p>
            <w:pPr>
              <w:spacing w:line="240" w:lineRule="auto"/>
            </w:pPr>
            <w:r/>
            <w:r>
              <w:rPr>
                <w:rFonts w:ascii="Times New Roman" w:hAnsi="Times New Roman"/>
                <w:sz w:val="18"/>
              </w:rPr>
              <w:t>Vascular: missing</w:t>
            </w:r>
          </w:p>
        </w:tc>
        <w:tc>
          <w:tcPr>
            <w:tcW w:type="dxa" w:w="1560"/>
          </w:tcPr>
          <w:p>
            <w:pPr>
              <w:spacing w:line="240" w:lineRule="auto"/>
            </w:pPr>
            <w:r/>
            <w:r>
              <w:rPr>
                <w:rFonts w:ascii="Times New Roman" w:hAnsi="Times New Roman"/>
                <w:sz w:val="18"/>
              </w:rPr>
              <w:t>49 (72.1%)</w:t>
            </w:r>
          </w:p>
        </w:tc>
        <w:tc>
          <w:tcPr>
            <w:tcW w:type="dxa" w:w="1560"/>
          </w:tcPr>
          <w:p>
            <w:pPr>
              <w:spacing w:line="240" w:lineRule="auto"/>
            </w:pPr>
            <w:r/>
            <w:r>
              <w:rPr>
                <w:rFonts w:ascii="Times New Roman" w:hAnsi="Times New Roman"/>
                <w:sz w:val="18"/>
              </w:rPr>
              <w:t>1,809 (76.7%)</w:t>
            </w:r>
          </w:p>
        </w:tc>
        <w:tc>
          <w:tcPr>
            <w:tcW w:type="dxa" w:w="1560"/>
          </w:tcPr>
          <w:p>
            <w:pPr>
              <w:spacing w:line="240" w:lineRule="auto"/>
            </w:pPr>
            <w:r/>
            <w:r>
              <w:rPr>
                <w:rFonts w:ascii="Times New Roman" w:hAnsi="Times New Roman"/>
                <w:sz w:val="18"/>
              </w:rPr>
              <w:t>685 (59.5%)</w:t>
            </w:r>
          </w:p>
        </w:tc>
        <w:tc>
          <w:tcPr>
            <w:tcW w:type="dxa" w:w="1560"/>
          </w:tcPr>
          <w:p>
            <w:pPr>
              <w:spacing w:line="240" w:lineRule="auto"/>
            </w:pPr>
            <w:r/>
            <w:r>
              <w:rPr>
                <w:rFonts w:ascii="Times New Roman" w:hAnsi="Times New Roman"/>
                <w:sz w:val="18"/>
              </w:rPr>
              <w:t>2,543 (71.1%)</w:t>
            </w:r>
          </w:p>
        </w:tc>
        <w:tc>
          <w:tcPr>
            <w:tcW w:type="dxa" w:w="1560"/>
          </w:tcPr>
          <w:p>
            <w:pPr>
              <w:spacing w:line="240" w:lineRule="auto"/>
            </w:pPr>
            <w:r/>
            <w:r>
              <w:rPr>
                <w:rFonts w:ascii="Times New Roman" w:hAnsi="Times New Roman"/>
                <w:sz w:val="18"/>
              </w:rPr>
              <w:t>&lt;0.001</w:t>
            </w:r>
          </w:p>
        </w:tc>
      </w:tr>
      <w:tr>
        <w:tc>
          <w:tcPr>
            <w:tcW w:type="dxa" w:w="1560"/>
          </w:tcPr>
          <w:p>
            <w:pPr>
              <w:spacing w:line="240" w:lineRule="auto"/>
            </w:pPr>
            <w:r/>
            <w:r>
              <w:rPr>
                <w:rFonts w:ascii="Times New Roman" w:hAnsi="Times New Roman"/>
                <w:sz w:val="18"/>
              </w:rPr>
              <w:t>Lymph-node burden</w:t>
            </w:r>
          </w:p>
        </w:tc>
        <w:tc>
          <w:tcPr>
            <w:tcW w:type="dxa" w:w="1560"/>
          </w:tcPr>
          <w:p>
            <w:pPr>
              <w:spacing w:line="240" w:lineRule="auto"/>
            </w:pPr>
            <w:r/>
            <w:r>
              <w:rPr>
                <w:rFonts w:ascii="Times New Roman" w:hAnsi="Times New Roman"/>
                <w:sz w:val="18"/>
              </w:rPr>
            </w:r>
          </w:p>
        </w:tc>
        <w:tc>
          <w:tcPr>
            <w:tcW w:type="dxa" w:w="1560"/>
          </w:tcPr>
          <w:p>
            <w:pPr>
              <w:spacing w:line="240" w:lineRule="auto"/>
            </w:pPr>
            <w:r/>
            <w:r>
              <w:rPr>
                <w:rFonts w:ascii="Times New Roman" w:hAnsi="Times New Roman"/>
                <w:sz w:val="18"/>
              </w:rPr>
            </w:r>
          </w:p>
        </w:tc>
        <w:tc>
          <w:tcPr>
            <w:tcW w:type="dxa" w:w="1560"/>
          </w:tcPr>
          <w:p>
            <w:pPr>
              <w:spacing w:line="240" w:lineRule="auto"/>
            </w:pPr>
            <w:r/>
            <w:r>
              <w:rPr>
                <w:rFonts w:ascii="Times New Roman" w:hAnsi="Times New Roman"/>
                <w:sz w:val="18"/>
              </w:rPr>
            </w:r>
          </w:p>
        </w:tc>
        <w:tc>
          <w:tcPr>
            <w:tcW w:type="dxa" w:w="1560"/>
          </w:tcPr>
          <w:p>
            <w:pPr>
              <w:spacing w:line="240" w:lineRule="auto"/>
            </w:pPr>
            <w:r/>
            <w:r>
              <w:rPr>
                <w:rFonts w:ascii="Times New Roman" w:hAnsi="Times New Roman"/>
                <w:sz w:val="18"/>
              </w:rPr>
            </w:r>
          </w:p>
        </w:tc>
        <w:tc>
          <w:tcPr>
            <w:tcW w:type="dxa" w:w="1560"/>
          </w:tcPr>
          <w:p>
            <w:pPr>
              <w:spacing w:line="240" w:lineRule="auto"/>
            </w:pPr>
            <w:r/>
            <w:r>
              <w:rPr>
                <w:rFonts w:ascii="Times New Roman" w:hAnsi="Times New Roman"/>
                <w:sz w:val="18"/>
              </w:rPr>
            </w:r>
          </w:p>
        </w:tc>
      </w:tr>
      <w:tr>
        <w:tc>
          <w:tcPr>
            <w:tcW w:type="dxa" w:w="1560"/>
          </w:tcPr>
          <w:p>
            <w:pPr>
              <w:spacing w:line="240" w:lineRule="auto"/>
            </w:pPr>
            <w:r/>
            <w:r>
              <w:rPr>
                <w:rFonts w:ascii="Times New Roman" w:hAnsi="Times New Roman"/>
                <w:sz w:val="18"/>
              </w:rPr>
              <w:t>LN examined, median (IQR)</w:t>
            </w:r>
          </w:p>
        </w:tc>
        <w:tc>
          <w:tcPr>
            <w:tcW w:type="dxa" w:w="1560"/>
          </w:tcPr>
          <w:p>
            <w:pPr>
              <w:spacing w:line="240" w:lineRule="auto"/>
            </w:pPr>
            <w:r/>
            <w:r>
              <w:rPr>
                <w:rFonts w:ascii="Times New Roman" w:hAnsi="Times New Roman"/>
                <w:sz w:val="18"/>
              </w:rPr>
              <w:t>1.0 (1.0–3.0)</w:t>
            </w:r>
          </w:p>
        </w:tc>
        <w:tc>
          <w:tcPr>
            <w:tcW w:type="dxa" w:w="1560"/>
          </w:tcPr>
          <w:p>
            <w:pPr>
              <w:spacing w:line="240" w:lineRule="auto"/>
            </w:pPr>
            <w:r/>
            <w:r>
              <w:rPr>
                <w:rFonts w:ascii="Times New Roman" w:hAnsi="Times New Roman"/>
                <w:sz w:val="18"/>
              </w:rPr>
              <w:t>1.0 (1.0–3.0)</w:t>
            </w:r>
          </w:p>
        </w:tc>
        <w:tc>
          <w:tcPr>
            <w:tcW w:type="dxa" w:w="1560"/>
          </w:tcPr>
          <w:p>
            <w:pPr>
              <w:spacing w:line="240" w:lineRule="auto"/>
            </w:pPr>
            <w:r/>
            <w:r>
              <w:rPr>
                <w:rFonts w:ascii="Times New Roman" w:hAnsi="Times New Roman"/>
                <w:sz w:val="18"/>
              </w:rPr>
              <w:t>1.0 (1.0–11.0)</w:t>
            </w:r>
          </w:p>
        </w:tc>
        <w:tc>
          <w:tcPr>
            <w:tcW w:type="dxa" w:w="1560"/>
          </w:tcPr>
          <w:p>
            <w:pPr>
              <w:spacing w:line="240" w:lineRule="auto"/>
            </w:pPr>
            <w:r/>
            <w:r>
              <w:rPr>
                <w:rFonts w:ascii="Times New Roman" w:hAnsi="Times New Roman"/>
                <w:sz w:val="18"/>
              </w:rPr>
              <w:t>1.0 (1.0–4.0)</w:t>
            </w:r>
          </w:p>
        </w:tc>
        <w:tc>
          <w:tcPr>
            <w:tcW w:type="dxa" w:w="1560"/>
          </w:tcPr>
          <w:p>
            <w:pPr>
              <w:spacing w:line="240" w:lineRule="auto"/>
            </w:pPr>
            <w:r/>
            <w:r>
              <w:rPr>
                <w:rFonts w:ascii="Times New Roman" w:hAnsi="Times New Roman"/>
                <w:sz w:val="18"/>
              </w:rPr>
              <w:t>&lt;0.001</w:t>
            </w:r>
          </w:p>
        </w:tc>
      </w:tr>
      <w:tr>
        <w:tc>
          <w:tcPr>
            <w:tcW w:type="dxa" w:w="1560"/>
          </w:tcPr>
          <w:p>
            <w:pPr>
              <w:spacing w:line="240" w:lineRule="auto"/>
            </w:pPr>
            <w:r/>
            <w:r>
              <w:rPr>
                <w:rFonts w:ascii="Times New Roman" w:hAnsi="Times New Roman"/>
                <w:sz w:val="18"/>
              </w:rPr>
              <w:t>LN positive, median (IQR)</w:t>
            </w:r>
          </w:p>
        </w:tc>
        <w:tc>
          <w:tcPr>
            <w:tcW w:type="dxa" w:w="1560"/>
          </w:tcPr>
          <w:p>
            <w:pPr>
              <w:spacing w:line="240" w:lineRule="auto"/>
            </w:pPr>
            <w:r/>
            <w:r>
              <w:rPr>
                <w:rFonts w:ascii="Times New Roman" w:hAnsi="Times New Roman"/>
                <w:sz w:val="18"/>
              </w:rPr>
              <w:t>1.0 (0.0–1.0)</w:t>
            </w:r>
          </w:p>
        </w:tc>
        <w:tc>
          <w:tcPr>
            <w:tcW w:type="dxa" w:w="1560"/>
          </w:tcPr>
          <w:p>
            <w:pPr>
              <w:spacing w:line="240" w:lineRule="auto"/>
            </w:pPr>
            <w:r/>
            <w:r>
              <w:rPr>
                <w:rFonts w:ascii="Times New Roman" w:hAnsi="Times New Roman"/>
                <w:sz w:val="18"/>
              </w:rPr>
              <w:t>1.0 (0.0–1.0)</w:t>
            </w:r>
          </w:p>
        </w:tc>
        <w:tc>
          <w:tcPr>
            <w:tcW w:type="dxa" w:w="1560"/>
          </w:tcPr>
          <w:p>
            <w:pPr>
              <w:spacing w:line="240" w:lineRule="auto"/>
            </w:pPr>
            <w:r/>
            <w:r>
              <w:rPr>
                <w:rFonts w:ascii="Times New Roman" w:hAnsi="Times New Roman"/>
                <w:sz w:val="18"/>
              </w:rPr>
              <w:t>1.0 (1.0–2.0)</w:t>
            </w:r>
          </w:p>
        </w:tc>
        <w:tc>
          <w:tcPr>
            <w:tcW w:type="dxa" w:w="1560"/>
          </w:tcPr>
          <w:p>
            <w:pPr>
              <w:spacing w:line="240" w:lineRule="auto"/>
            </w:pPr>
            <w:r/>
            <w:r>
              <w:rPr>
                <w:rFonts w:ascii="Times New Roman" w:hAnsi="Times New Roman"/>
                <w:sz w:val="18"/>
              </w:rPr>
              <w:t>1.0 (0.0–1.0)</w:t>
            </w:r>
          </w:p>
        </w:tc>
        <w:tc>
          <w:tcPr>
            <w:tcW w:type="dxa" w:w="1560"/>
          </w:tcPr>
          <w:p>
            <w:pPr>
              <w:spacing w:line="240" w:lineRule="auto"/>
            </w:pPr>
            <w:r/>
            <w:r>
              <w:rPr>
                <w:rFonts w:ascii="Times New Roman" w:hAnsi="Times New Roman"/>
                <w:sz w:val="18"/>
              </w:rPr>
              <w:t>&lt;0.001</w:t>
            </w:r>
          </w:p>
        </w:tc>
      </w:tr>
      <w:tr>
        <w:tc>
          <w:tcPr>
            <w:tcW w:type="dxa" w:w="1560"/>
          </w:tcPr>
          <w:p>
            <w:pPr>
              <w:spacing w:line="240" w:lineRule="auto"/>
            </w:pPr>
            <w:r/>
            <w:r>
              <w:rPr>
                <w:rFonts w:ascii="Times New Roman" w:hAnsi="Times New Roman"/>
                <w:sz w:val="18"/>
              </w:rPr>
              <w:t>Central LN positive</w:t>
            </w:r>
          </w:p>
        </w:tc>
        <w:tc>
          <w:tcPr>
            <w:tcW w:type="dxa" w:w="1560"/>
          </w:tcPr>
          <w:p>
            <w:pPr>
              <w:spacing w:line="240" w:lineRule="auto"/>
            </w:pPr>
            <w:r/>
            <w:r>
              <w:rPr>
                <w:rFonts w:ascii="Times New Roman" w:hAnsi="Times New Roman"/>
                <w:sz w:val="18"/>
              </w:rPr>
              <w:t>8 (11.8%)</w:t>
            </w:r>
          </w:p>
        </w:tc>
        <w:tc>
          <w:tcPr>
            <w:tcW w:type="dxa" w:w="1560"/>
          </w:tcPr>
          <w:p>
            <w:pPr>
              <w:spacing w:line="240" w:lineRule="auto"/>
            </w:pPr>
            <w:r/>
            <w:r>
              <w:rPr>
                <w:rFonts w:ascii="Times New Roman" w:hAnsi="Times New Roman"/>
                <w:sz w:val="18"/>
              </w:rPr>
              <w:t>398 (16.9%)</w:t>
            </w:r>
          </w:p>
        </w:tc>
        <w:tc>
          <w:tcPr>
            <w:tcW w:type="dxa" w:w="1560"/>
          </w:tcPr>
          <w:p>
            <w:pPr>
              <w:spacing w:line="240" w:lineRule="auto"/>
            </w:pPr>
            <w:r/>
            <w:r>
              <w:rPr>
                <w:rFonts w:ascii="Times New Roman" w:hAnsi="Times New Roman"/>
                <w:sz w:val="18"/>
              </w:rPr>
              <w:t>360 (31.3%)</w:t>
            </w:r>
          </w:p>
        </w:tc>
        <w:tc>
          <w:tcPr>
            <w:tcW w:type="dxa" w:w="1560"/>
          </w:tcPr>
          <w:p>
            <w:pPr>
              <w:spacing w:line="240" w:lineRule="auto"/>
            </w:pPr>
            <w:r/>
            <w:r>
              <w:rPr>
                <w:rFonts w:ascii="Times New Roman" w:hAnsi="Times New Roman"/>
                <w:sz w:val="18"/>
              </w:rPr>
              <w:t>766 (21.4%)</w:t>
            </w:r>
          </w:p>
        </w:tc>
        <w:tc>
          <w:tcPr>
            <w:tcW w:type="dxa" w:w="1560"/>
          </w:tcPr>
          <w:p>
            <w:pPr>
              <w:spacing w:line="240" w:lineRule="auto"/>
            </w:pPr>
            <w:r/>
            <w:r>
              <w:rPr>
                <w:rFonts w:ascii="Times New Roman" w:hAnsi="Times New Roman"/>
                <w:sz w:val="18"/>
              </w:rPr>
              <w:t>&lt;0.001</w:t>
            </w:r>
          </w:p>
        </w:tc>
      </w:tr>
      <w:tr>
        <w:tc>
          <w:tcPr>
            <w:tcW w:type="dxa" w:w="1560"/>
          </w:tcPr>
          <w:p>
            <w:pPr>
              <w:spacing w:line="240" w:lineRule="auto"/>
            </w:pPr>
            <w:r/>
            <w:r>
              <w:rPr>
                <w:rFonts w:ascii="Times New Roman" w:hAnsi="Times New Roman"/>
                <w:sz w:val="18"/>
              </w:rPr>
              <w:t>Lateral LN positive</w:t>
            </w:r>
          </w:p>
        </w:tc>
        <w:tc>
          <w:tcPr>
            <w:tcW w:type="dxa" w:w="1560"/>
          </w:tcPr>
          <w:p>
            <w:pPr>
              <w:spacing w:line="240" w:lineRule="auto"/>
            </w:pPr>
            <w:r/>
            <w:r>
              <w:rPr>
                <w:rFonts w:ascii="Times New Roman" w:hAnsi="Times New Roman"/>
                <w:sz w:val="18"/>
              </w:rPr>
              <w:t>4 (5.9%)</w:t>
            </w:r>
          </w:p>
        </w:tc>
        <w:tc>
          <w:tcPr>
            <w:tcW w:type="dxa" w:w="1560"/>
          </w:tcPr>
          <w:p>
            <w:pPr>
              <w:spacing w:line="240" w:lineRule="auto"/>
            </w:pPr>
            <w:r/>
            <w:r>
              <w:rPr>
                <w:rFonts w:ascii="Times New Roman" w:hAnsi="Times New Roman"/>
                <w:sz w:val="18"/>
              </w:rPr>
              <w:t>131 (5.6%)</w:t>
            </w:r>
          </w:p>
        </w:tc>
        <w:tc>
          <w:tcPr>
            <w:tcW w:type="dxa" w:w="1560"/>
          </w:tcPr>
          <w:p>
            <w:pPr>
              <w:spacing w:line="240" w:lineRule="auto"/>
            </w:pPr>
            <w:r/>
            <w:r>
              <w:rPr>
                <w:rFonts w:ascii="Times New Roman" w:hAnsi="Times New Roman"/>
                <w:sz w:val="18"/>
              </w:rPr>
              <w:t>168 (14.6%)</w:t>
            </w:r>
          </w:p>
        </w:tc>
        <w:tc>
          <w:tcPr>
            <w:tcW w:type="dxa" w:w="1560"/>
          </w:tcPr>
          <w:p>
            <w:pPr>
              <w:spacing w:line="240" w:lineRule="auto"/>
            </w:pPr>
            <w:r/>
            <w:r>
              <w:rPr>
                <w:rFonts w:ascii="Times New Roman" w:hAnsi="Times New Roman"/>
                <w:sz w:val="18"/>
              </w:rPr>
              <w:t>303 (8.5%)</w:t>
            </w:r>
          </w:p>
        </w:tc>
        <w:tc>
          <w:tcPr>
            <w:tcW w:type="dxa" w:w="1560"/>
          </w:tcPr>
          <w:p>
            <w:pPr>
              <w:spacing w:line="240" w:lineRule="auto"/>
            </w:pPr>
            <w:r/>
            <w:r>
              <w:rPr>
                <w:rFonts w:ascii="Times New Roman" w:hAnsi="Times New Roman"/>
                <w:sz w:val="18"/>
              </w:rPr>
              <w:t>&lt;0.001</w:t>
            </w:r>
          </w:p>
        </w:tc>
      </w:tr>
      <w:tr>
        <w:tc>
          <w:tcPr>
            <w:tcW w:type="dxa" w:w="1560"/>
          </w:tcPr>
          <w:p>
            <w:pPr>
              <w:spacing w:line="240" w:lineRule="auto"/>
            </w:pPr>
            <w:r/>
            <w:r>
              <w:rPr>
                <w:rFonts w:ascii="Times New Roman" w:hAnsi="Times New Roman"/>
                <w:sz w:val="18"/>
              </w:rPr>
              <w:t>Any LVI composite</w:t>
            </w:r>
          </w:p>
        </w:tc>
        <w:tc>
          <w:tcPr>
            <w:tcW w:type="dxa" w:w="1560"/>
          </w:tcPr>
          <w:p>
            <w:pPr>
              <w:spacing w:line="240" w:lineRule="auto"/>
            </w:pPr>
            <w:r/>
            <w:r>
              <w:rPr>
                <w:rFonts w:ascii="Times New Roman" w:hAnsi="Times New Roman"/>
                <w:sz w:val="18"/>
              </w:rPr>
              <w:t>19 (27.9%)</w:t>
            </w:r>
          </w:p>
        </w:tc>
        <w:tc>
          <w:tcPr>
            <w:tcW w:type="dxa" w:w="1560"/>
          </w:tcPr>
          <w:p>
            <w:pPr>
              <w:spacing w:line="240" w:lineRule="auto"/>
            </w:pPr>
            <w:r/>
            <w:r>
              <w:rPr>
                <w:rFonts w:ascii="Times New Roman" w:hAnsi="Times New Roman"/>
                <w:sz w:val="18"/>
              </w:rPr>
              <w:t>595 (25.2%)</w:t>
            </w:r>
          </w:p>
        </w:tc>
        <w:tc>
          <w:tcPr>
            <w:tcW w:type="dxa" w:w="1560"/>
          </w:tcPr>
          <w:p>
            <w:pPr>
              <w:spacing w:line="240" w:lineRule="auto"/>
            </w:pPr>
            <w:r/>
            <w:r>
              <w:rPr>
                <w:rFonts w:ascii="Times New Roman" w:hAnsi="Times New Roman"/>
                <w:sz w:val="18"/>
              </w:rPr>
              <w:t>500 (43.4%)</w:t>
            </w:r>
          </w:p>
        </w:tc>
        <w:tc>
          <w:tcPr>
            <w:tcW w:type="dxa" w:w="1560"/>
          </w:tcPr>
          <w:p>
            <w:pPr>
              <w:spacing w:line="240" w:lineRule="auto"/>
            </w:pPr>
            <w:r/>
            <w:r>
              <w:rPr>
                <w:rFonts w:ascii="Times New Roman" w:hAnsi="Times New Roman"/>
                <w:sz w:val="18"/>
              </w:rPr>
              <w:t>1,114 (31.1%)</w:t>
            </w:r>
          </w:p>
        </w:tc>
        <w:tc>
          <w:tcPr>
            <w:tcW w:type="dxa" w:w="1560"/>
          </w:tcPr>
          <w:p>
            <w:pPr>
              <w:spacing w:line="240" w:lineRule="auto"/>
            </w:pPr>
            <w:r/>
            <w:r>
              <w:rPr>
                <w:rFonts w:ascii="Times New Roman" w:hAnsi="Times New Roman"/>
                <w:sz w:val="18"/>
              </w:rPr>
              <w:t>&lt;0.001</w:t>
            </w:r>
          </w:p>
        </w:tc>
      </w:tr>
      <w:tr>
        <w:tc>
          <w:tcPr>
            <w:tcW w:type="dxa" w:w="1560"/>
          </w:tcPr>
          <w:p>
            <w:pPr>
              <w:spacing w:line="240" w:lineRule="auto"/>
            </w:pPr>
            <w:r/>
            <w:r>
              <w:rPr>
                <w:rFonts w:ascii="Times New Roman" w:hAnsi="Times New Roman"/>
                <w:sz w:val="18"/>
              </w:rPr>
              <w:t>Initial treatment</w:t>
            </w:r>
          </w:p>
        </w:tc>
        <w:tc>
          <w:tcPr>
            <w:tcW w:type="dxa" w:w="1560"/>
          </w:tcPr>
          <w:p>
            <w:pPr>
              <w:spacing w:line="240" w:lineRule="auto"/>
            </w:pPr>
            <w:r/>
            <w:r>
              <w:rPr>
                <w:rFonts w:ascii="Times New Roman" w:hAnsi="Times New Roman"/>
                <w:sz w:val="18"/>
              </w:rPr>
            </w:r>
          </w:p>
        </w:tc>
        <w:tc>
          <w:tcPr>
            <w:tcW w:type="dxa" w:w="1560"/>
          </w:tcPr>
          <w:p>
            <w:pPr>
              <w:spacing w:line="240" w:lineRule="auto"/>
            </w:pPr>
            <w:r/>
            <w:r>
              <w:rPr>
                <w:rFonts w:ascii="Times New Roman" w:hAnsi="Times New Roman"/>
                <w:sz w:val="18"/>
              </w:rPr>
            </w:r>
          </w:p>
        </w:tc>
        <w:tc>
          <w:tcPr>
            <w:tcW w:type="dxa" w:w="1560"/>
          </w:tcPr>
          <w:p>
            <w:pPr>
              <w:spacing w:line="240" w:lineRule="auto"/>
            </w:pPr>
            <w:r/>
            <w:r>
              <w:rPr>
                <w:rFonts w:ascii="Times New Roman" w:hAnsi="Times New Roman"/>
                <w:sz w:val="18"/>
              </w:rPr>
            </w:r>
          </w:p>
        </w:tc>
        <w:tc>
          <w:tcPr>
            <w:tcW w:type="dxa" w:w="1560"/>
          </w:tcPr>
          <w:p>
            <w:pPr>
              <w:spacing w:line="240" w:lineRule="auto"/>
            </w:pPr>
            <w:r/>
            <w:r>
              <w:rPr>
                <w:rFonts w:ascii="Times New Roman" w:hAnsi="Times New Roman"/>
                <w:sz w:val="18"/>
              </w:rPr>
            </w:r>
          </w:p>
        </w:tc>
        <w:tc>
          <w:tcPr>
            <w:tcW w:type="dxa" w:w="1560"/>
          </w:tcPr>
          <w:p>
            <w:pPr>
              <w:spacing w:line="240" w:lineRule="auto"/>
            </w:pPr>
            <w:r/>
            <w:r>
              <w:rPr>
                <w:rFonts w:ascii="Times New Roman" w:hAnsi="Times New Roman"/>
                <w:sz w:val="18"/>
              </w:rPr>
            </w:r>
          </w:p>
        </w:tc>
      </w:tr>
      <w:tr>
        <w:tc>
          <w:tcPr>
            <w:tcW w:type="dxa" w:w="1560"/>
          </w:tcPr>
          <w:p>
            <w:pPr>
              <w:spacing w:line="240" w:lineRule="auto"/>
            </w:pPr>
            <w:r/>
            <w:r>
              <w:rPr>
                <w:rFonts w:ascii="Times New Roman" w:hAnsi="Times New Roman"/>
                <w:sz w:val="18"/>
              </w:rPr>
              <w:t>Total thyroidectomy</w:t>
            </w:r>
          </w:p>
        </w:tc>
        <w:tc>
          <w:tcPr>
            <w:tcW w:type="dxa" w:w="1560"/>
          </w:tcPr>
          <w:p>
            <w:pPr>
              <w:spacing w:line="240" w:lineRule="auto"/>
            </w:pPr>
            <w:r/>
            <w:r>
              <w:rPr>
                <w:rFonts w:ascii="Times New Roman" w:hAnsi="Times New Roman"/>
                <w:sz w:val="18"/>
              </w:rPr>
              <w:t>39 (57.4%)</w:t>
            </w:r>
          </w:p>
        </w:tc>
        <w:tc>
          <w:tcPr>
            <w:tcW w:type="dxa" w:w="1560"/>
          </w:tcPr>
          <w:p>
            <w:pPr>
              <w:spacing w:line="240" w:lineRule="auto"/>
            </w:pPr>
            <w:r/>
            <w:r>
              <w:rPr>
                <w:rFonts w:ascii="Times New Roman" w:hAnsi="Times New Roman"/>
                <w:sz w:val="18"/>
              </w:rPr>
              <w:t>1,594 (67.6%)</w:t>
            </w:r>
          </w:p>
        </w:tc>
        <w:tc>
          <w:tcPr>
            <w:tcW w:type="dxa" w:w="1560"/>
          </w:tcPr>
          <w:p>
            <w:pPr>
              <w:spacing w:line="240" w:lineRule="auto"/>
            </w:pPr>
            <w:r/>
            <w:r>
              <w:rPr>
                <w:rFonts w:ascii="Times New Roman" w:hAnsi="Times New Roman"/>
                <w:sz w:val="18"/>
              </w:rPr>
              <w:t>868 (75.4%)</w:t>
            </w:r>
          </w:p>
        </w:tc>
        <w:tc>
          <w:tcPr>
            <w:tcW w:type="dxa" w:w="1560"/>
          </w:tcPr>
          <w:p>
            <w:pPr>
              <w:spacing w:line="240" w:lineRule="auto"/>
            </w:pPr>
            <w:r/>
            <w:r>
              <w:rPr>
                <w:rFonts w:ascii="Times New Roman" w:hAnsi="Times New Roman"/>
                <w:sz w:val="18"/>
              </w:rPr>
              <w:t>2,501 (69.9%)</w:t>
            </w:r>
          </w:p>
        </w:tc>
        <w:tc>
          <w:tcPr>
            <w:tcW w:type="dxa" w:w="1560"/>
          </w:tcPr>
          <w:p>
            <w:pPr>
              <w:spacing w:line="240" w:lineRule="auto"/>
            </w:pPr>
            <w:r/>
            <w:r>
              <w:rPr>
                <w:rFonts w:ascii="Times New Roman" w:hAnsi="Times New Roman"/>
                <w:sz w:val="18"/>
              </w:rPr>
              <w:t>&lt;0.001</w:t>
            </w:r>
          </w:p>
        </w:tc>
      </w:tr>
      <w:tr>
        <w:tc>
          <w:tcPr>
            <w:tcW w:type="dxa" w:w="1560"/>
          </w:tcPr>
          <w:p>
            <w:pPr>
              <w:spacing w:line="240" w:lineRule="auto"/>
            </w:pPr>
            <w:r/>
            <w:r>
              <w:rPr>
                <w:rFonts w:ascii="Times New Roman" w:hAnsi="Times New Roman"/>
                <w:sz w:val="18"/>
              </w:rPr>
              <w:t>RAI received</w:t>
            </w:r>
          </w:p>
        </w:tc>
        <w:tc>
          <w:tcPr>
            <w:tcW w:type="dxa" w:w="1560"/>
          </w:tcPr>
          <w:p>
            <w:pPr>
              <w:spacing w:line="240" w:lineRule="auto"/>
            </w:pPr>
            <w:r/>
            <w:r>
              <w:rPr>
                <w:rFonts w:ascii="Times New Roman" w:hAnsi="Times New Roman"/>
                <w:sz w:val="18"/>
              </w:rPr>
              <w:t>13 (19.1%)</w:t>
            </w:r>
          </w:p>
        </w:tc>
        <w:tc>
          <w:tcPr>
            <w:tcW w:type="dxa" w:w="1560"/>
          </w:tcPr>
          <w:p>
            <w:pPr>
              <w:spacing w:line="240" w:lineRule="auto"/>
            </w:pPr>
            <w:r/>
            <w:r>
              <w:rPr>
                <w:rFonts w:ascii="Times New Roman" w:hAnsi="Times New Roman"/>
                <w:sz w:val="18"/>
              </w:rPr>
              <w:t>263 (11.1%)</w:t>
            </w:r>
          </w:p>
        </w:tc>
        <w:tc>
          <w:tcPr>
            <w:tcW w:type="dxa" w:w="1560"/>
          </w:tcPr>
          <w:p>
            <w:pPr>
              <w:spacing w:line="240" w:lineRule="auto"/>
            </w:pPr>
            <w:r/>
            <w:r>
              <w:rPr>
                <w:rFonts w:ascii="Times New Roman" w:hAnsi="Times New Roman"/>
                <w:sz w:val="18"/>
              </w:rPr>
              <w:t>306 (26.6%)</w:t>
            </w:r>
          </w:p>
        </w:tc>
        <w:tc>
          <w:tcPr>
            <w:tcW w:type="dxa" w:w="1560"/>
          </w:tcPr>
          <w:p>
            <w:pPr>
              <w:spacing w:line="240" w:lineRule="auto"/>
            </w:pPr>
            <w:r/>
            <w:r>
              <w:rPr>
                <w:rFonts w:ascii="Times New Roman" w:hAnsi="Times New Roman"/>
                <w:sz w:val="18"/>
              </w:rPr>
              <w:t>582 (16.3%)</w:t>
            </w:r>
          </w:p>
        </w:tc>
        <w:tc>
          <w:tcPr>
            <w:tcW w:type="dxa" w:w="1560"/>
          </w:tcPr>
          <w:p>
            <w:pPr>
              <w:spacing w:line="240" w:lineRule="auto"/>
            </w:pPr>
            <w:r/>
            <w:r>
              <w:rPr>
                <w:rFonts w:ascii="Times New Roman" w:hAnsi="Times New Roman"/>
                <w:sz w:val="18"/>
              </w:rPr>
              <w:t>&lt;0.001</w:t>
            </w:r>
          </w:p>
        </w:tc>
      </w:tr>
      <w:tr>
        <w:tc>
          <w:tcPr>
            <w:tcW w:type="dxa" w:w="1560"/>
          </w:tcPr>
          <w:p>
            <w:pPr>
              <w:spacing w:line="240" w:lineRule="auto"/>
            </w:pPr>
            <w:r/>
            <w:r>
              <w:rPr>
                <w:rFonts w:ascii="Times New Roman" w:hAnsi="Times New Roman"/>
                <w:sz w:val="18"/>
              </w:rPr>
              <w:t>≥2 surgeries</w:t>
            </w:r>
          </w:p>
        </w:tc>
        <w:tc>
          <w:tcPr>
            <w:tcW w:type="dxa" w:w="1560"/>
          </w:tcPr>
          <w:p>
            <w:pPr>
              <w:spacing w:line="240" w:lineRule="auto"/>
            </w:pPr>
            <w:r/>
            <w:r>
              <w:rPr>
                <w:rFonts w:ascii="Times New Roman" w:hAnsi="Times New Roman"/>
                <w:sz w:val="18"/>
              </w:rPr>
              <w:t>18 (26.5%)</w:t>
            </w:r>
          </w:p>
        </w:tc>
        <w:tc>
          <w:tcPr>
            <w:tcW w:type="dxa" w:w="1560"/>
          </w:tcPr>
          <w:p>
            <w:pPr>
              <w:spacing w:line="240" w:lineRule="auto"/>
            </w:pPr>
            <w:r/>
            <w:r>
              <w:rPr>
                <w:rFonts w:ascii="Times New Roman" w:hAnsi="Times New Roman"/>
                <w:sz w:val="18"/>
              </w:rPr>
              <w:t>352 (14.9%)</w:t>
            </w:r>
          </w:p>
        </w:tc>
        <w:tc>
          <w:tcPr>
            <w:tcW w:type="dxa" w:w="1560"/>
          </w:tcPr>
          <w:p>
            <w:pPr>
              <w:spacing w:line="240" w:lineRule="auto"/>
            </w:pPr>
            <w:r/>
            <w:r>
              <w:rPr>
                <w:rFonts w:ascii="Times New Roman" w:hAnsi="Times New Roman"/>
                <w:sz w:val="18"/>
              </w:rPr>
              <w:t>169 (14.7%)</w:t>
            </w:r>
          </w:p>
        </w:tc>
        <w:tc>
          <w:tcPr>
            <w:tcW w:type="dxa" w:w="1560"/>
          </w:tcPr>
          <w:p>
            <w:pPr>
              <w:spacing w:line="240" w:lineRule="auto"/>
            </w:pPr>
            <w:r/>
            <w:r>
              <w:rPr>
                <w:rFonts w:ascii="Times New Roman" w:hAnsi="Times New Roman"/>
                <w:sz w:val="18"/>
              </w:rPr>
              <w:t>539 (15.1%)</w:t>
            </w:r>
          </w:p>
        </w:tc>
        <w:tc>
          <w:tcPr>
            <w:tcW w:type="dxa" w:w="1560"/>
          </w:tcPr>
          <w:p>
            <w:pPr>
              <w:spacing w:line="240" w:lineRule="auto"/>
            </w:pPr>
            <w:r/>
            <w:r>
              <w:rPr>
                <w:rFonts w:ascii="Times New Roman" w:hAnsi="Times New Roman"/>
                <w:sz w:val="18"/>
              </w:rPr>
              <w:t>0.029</w:t>
            </w:r>
          </w:p>
        </w:tc>
      </w:tr>
      <w:tr>
        <w:tc>
          <w:tcPr>
            <w:tcW w:type="dxa" w:w="1560"/>
          </w:tcPr>
          <w:p>
            <w:pPr>
              <w:spacing w:line="240" w:lineRule="auto"/>
            </w:pPr>
            <w:r/>
            <w:r>
              <w:rPr>
                <w:rFonts w:ascii="Times New Roman" w:hAnsi="Times New Roman"/>
                <w:sz w:val="18"/>
              </w:rPr>
              <w:t>Molecular markers</w:t>
            </w:r>
          </w:p>
        </w:tc>
        <w:tc>
          <w:tcPr>
            <w:tcW w:type="dxa" w:w="1560"/>
          </w:tcPr>
          <w:p>
            <w:pPr>
              <w:spacing w:line="240" w:lineRule="auto"/>
            </w:pPr>
            <w:r/>
            <w:r>
              <w:rPr>
                <w:rFonts w:ascii="Times New Roman" w:hAnsi="Times New Roman"/>
                <w:sz w:val="18"/>
              </w:rPr>
            </w:r>
          </w:p>
        </w:tc>
        <w:tc>
          <w:tcPr>
            <w:tcW w:type="dxa" w:w="1560"/>
          </w:tcPr>
          <w:p>
            <w:pPr>
              <w:spacing w:line="240" w:lineRule="auto"/>
            </w:pPr>
            <w:r/>
            <w:r>
              <w:rPr>
                <w:rFonts w:ascii="Times New Roman" w:hAnsi="Times New Roman"/>
                <w:sz w:val="18"/>
              </w:rPr>
            </w:r>
          </w:p>
        </w:tc>
        <w:tc>
          <w:tcPr>
            <w:tcW w:type="dxa" w:w="1560"/>
          </w:tcPr>
          <w:p>
            <w:pPr>
              <w:spacing w:line="240" w:lineRule="auto"/>
            </w:pPr>
            <w:r/>
            <w:r>
              <w:rPr>
                <w:rFonts w:ascii="Times New Roman" w:hAnsi="Times New Roman"/>
                <w:sz w:val="18"/>
              </w:rPr>
            </w:r>
          </w:p>
        </w:tc>
        <w:tc>
          <w:tcPr>
            <w:tcW w:type="dxa" w:w="1560"/>
          </w:tcPr>
          <w:p>
            <w:pPr>
              <w:spacing w:line="240" w:lineRule="auto"/>
            </w:pPr>
            <w:r/>
            <w:r>
              <w:rPr>
                <w:rFonts w:ascii="Times New Roman" w:hAnsi="Times New Roman"/>
                <w:sz w:val="18"/>
              </w:rPr>
            </w:r>
          </w:p>
        </w:tc>
        <w:tc>
          <w:tcPr>
            <w:tcW w:type="dxa" w:w="1560"/>
          </w:tcPr>
          <w:p>
            <w:pPr>
              <w:spacing w:line="240" w:lineRule="auto"/>
            </w:pPr>
            <w:r/>
            <w:r>
              <w:rPr>
                <w:rFonts w:ascii="Times New Roman" w:hAnsi="Times New Roman"/>
                <w:sz w:val="18"/>
              </w:rPr>
            </w:r>
          </w:p>
        </w:tc>
      </w:tr>
      <w:tr>
        <w:tc>
          <w:tcPr>
            <w:tcW w:type="dxa" w:w="1560"/>
          </w:tcPr>
          <w:p>
            <w:pPr>
              <w:spacing w:line="240" w:lineRule="auto"/>
            </w:pPr>
            <w:r/>
            <w:r>
              <w:rPr>
                <w:rFonts w:ascii="Times New Roman" w:hAnsi="Times New Roman"/>
                <w:sz w:val="18"/>
              </w:rPr>
              <w:t>BRAF V600E positive</w:t>
            </w:r>
          </w:p>
        </w:tc>
        <w:tc>
          <w:tcPr>
            <w:tcW w:type="dxa" w:w="1560"/>
          </w:tcPr>
          <w:p>
            <w:pPr>
              <w:spacing w:line="240" w:lineRule="auto"/>
            </w:pPr>
            <w:r/>
            <w:r>
              <w:rPr>
                <w:rFonts w:ascii="Times New Roman" w:hAnsi="Times New Roman"/>
                <w:sz w:val="18"/>
              </w:rPr>
              <w:t>4 (5.9%)</w:t>
            </w:r>
          </w:p>
        </w:tc>
        <w:tc>
          <w:tcPr>
            <w:tcW w:type="dxa" w:w="1560"/>
          </w:tcPr>
          <w:p>
            <w:pPr>
              <w:spacing w:line="240" w:lineRule="auto"/>
            </w:pPr>
            <w:r/>
            <w:r>
              <w:rPr>
                <w:rFonts w:ascii="Times New Roman" w:hAnsi="Times New Roman"/>
                <w:sz w:val="18"/>
              </w:rPr>
              <w:t>156 (6.6%)</w:t>
            </w:r>
          </w:p>
        </w:tc>
        <w:tc>
          <w:tcPr>
            <w:tcW w:type="dxa" w:w="1560"/>
          </w:tcPr>
          <w:p>
            <w:pPr>
              <w:spacing w:line="240" w:lineRule="auto"/>
            </w:pPr>
            <w:r/>
            <w:r>
              <w:rPr>
                <w:rFonts w:ascii="Times New Roman" w:hAnsi="Times New Roman"/>
                <w:sz w:val="18"/>
              </w:rPr>
              <w:t>96 (8.3%)</w:t>
            </w:r>
          </w:p>
        </w:tc>
        <w:tc>
          <w:tcPr>
            <w:tcW w:type="dxa" w:w="1560"/>
          </w:tcPr>
          <w:p>
            <w:pPr>
              <w:spacing w:line="240" w:lineRule="auto"/>
            </w:pPr>
            <w:r/>
            <w:r>
              <w:rPr>
                <w:rFonts w:ascii="Times New Roman" w:hAnsi="Times New Roman"/>
                <w:sz w:val="18"/>
              </w:rPr>
              <w:t>256 (7.2%)</w:t>
            </w:r>
          </w:p>
        </w:tc>
        <w:tc>
          <w:tcPr>
            <w:tcW w:type="dxa" w:w="1560"/>
          </w:tcPr>
          <w:p>
            <w:pPr>
              <w:spacing w:line="240" w:lineRule="auto"/>
            </w:pPr>
            <w:r/>
            <w:r>
              <w:rPr>
                <w:rFonts w:ascii="Times New Roman" w:hAnsi="Times New Roman"/>
                <w:sz w:val="18"/>
              </w:rPr>
              <w:t>0.162</w:t>
            </w:r>
          </w:p>
        </w:tc>
      </w:tr>
      <w:tr>
        <w:tc>
          <w:tcPr>
            <w:tcW w:type="dxa" w:w="1560"/>
          </w:tcPr>
          <w:p>
            <w:pPr>
              <w:spacing w:line="240" w:lineRule="auto"/>
            </w:pPr>
            <w:r/>
            <w:r>
              <w:rPr>
                <w:rFonts w:ascii="Times New Roman" w:hAnsi="Times New Roman"/>
                <w:sz w:val="18"/>
              </w:rPr>
              <w:t>TERT promoter positive</w:t>
            </w:r>
          </w:p>
        </w:tc>
        <w:tc>
          <w:tcPr>
            <w:tcW w:type="dxa" w:w="1560"/>
          </w:tcPr>
          <w:p>
            <w:pPr>
              <w:spacing w:line="240" w:lineRule="auto"/>
            </w:pPr>
            <w:r/>
            <w:r>
              <w:rPr>
                <w:rFonts w:ascii="Times New Roman" w:hAnsi="Times New Roman"/>
                <w:sz w:val="18"/>
              </w:rPr>
              <w:t>0 (0.0%)</w:t>
            </w:r>
          </w:p>
        </w:tc>
        <w:tc>
          <w:tcPr>
            <w:tcW w:type="dxa" w:w="1560"/>
          </w:tcPr>
          <w:p>
            <w:pPr>
              <w:spacing w:line="240" w:lineRule="auto"/>
            </w:pPr>
            <w:r/>
            <w:r>
              <w:rPr>
                <w:rFonts w:ascii="Times New Roman" w:hAnsi="Times New Roman"/>
                <w:sz w:val="18"/>
              </w:rPr>
              <w:t>33 (1.4%)</w:t>
            </w:r>
          </w:p>
        </w:tc>
        <w:tc>
          <w:tcPr>
            <w:tcW w:type="dxa" w:w="1560"/>
          </w:tcPr>
          <w:p>
            <w:pPr>
              <w:spacing w:line="240" w:lineRule="auto"/>
            </w:pPr>
            <w:r/>
            <w:r>
              <w:rPr>
                <w:rFonts w:ascii="Times New Roman" w:hAnsi="Times New Roman"/>
                <w:sz w:val="18"/>
              </w:rPr>
              <w:t>19 (1.7%)</w:t>
            </w:r>
          </w:p>
        </w:tc>
        <w:tc>
          <w:tcPr>
            <w:tcW w:type="dxa" w:w="1560"/>
          </w:tcPr>
          <w:p>
            <w:pPr>
              <w:spacing w:line="240" w:lineRule="auto"/>
            </w:pPr>
            <w:r/>
            <w:r>
              <w:rPr>
                <w:rFonts w:ascii="Times New Roman" w:hAnsi="Times New Roman"/>
                <w:sz w:val="18"/>
              </w:rPr>
              <w:t>52 (1.5%)</w:t>
            </w:r>
          </w:p>
        </w:tc>
        <w:tc>
          <w:tcPr>
            <w:tcW w:type="dxa" w:w="1560"/>
          </w:tcPr>
          <w:p>
            <w:pPr>
              <w:spacing w:line="240" w:lineRule="auto"/>
            </w:pPr>
            <w:r/>
            <w:r>
              <w:rPr>
                <w:rFonts w:ascii="Times New Roman" w:hAnsi="Times New Roman"/>
                <w:sz w:val="18"/>
              </w:rPr>
              <w:t>0.505</w:t>
            </w:r>
          </w:p>
        </w:tc>
      </w:tr>
      <w:tr>
        <w:tc>
          <w:tcPr>
            <w:tcW w:type="dxa" w:w="1560"/>
          </w:tcPr>
          <w:p>
            <w:pPr>
              <w:spacing w:line="240" w:lineRule="auto"/>
            </w:pPr>
            <w:r/>
            <w:r>
              <w:rPr>
                <w:rFonts w:ascii="Times New Roman" w:hAnsi="Times New Roman"/>
                <w:sz w:val="18"/>
              </w:rPr>
              <w:t>RAS positive</w:t>
            </w:r>
          </w:p>
        </w:tc>
        <w:tc>
          <w:tcPr>
            <w:tcW w:type="dxa" w:w="1560"/>
          </w:tcPr>
          <w:p>
            <w:pPr>
              <w:spacing w:line="240" w:lineRule="auto"/>
            </w:pPr>
            <w:r/>
            <w:r>
              <w:rPr>
                <w:rFonts w:ascii="Times New Roman" w:hAnsi="Times New Roman"/>
                <w:sz w:val="18"/>
              </w:rPr>
              <w:t>0 (0.0%)</w:t>
            </w:r>
          </w:p>
        </w:tc>
        <w:tc>
          <w:tcPr>
            <w:tcW w:type="dxa" w:w="1560"/>
          </w:tcPr>
          <w:p>
            <w:pPr>
              <w:spacing w:line="240" w:lineRule="auto"/>
            </w:pPr>
            <w:r/>
            <w:r>
              <w:rPr>
                <w:rFonts w:ascii="Times New Roman" w:hAnsi="Times New Roman"/>
                <w:sz w:val="18"/>
              </w:rPr>
              <w:t>109 (4.6%)</w:t>
            </w:r>
          </w:p>
        </w:tc>
        <w:tc>
          <w:tcPr>
            <w:tcW w:type="dxa" w:w="1560"/>
          </w:tcPr>
          <w:p>
            <w:pPr>
              <w:spacing w:line="240" w:lineRule="auto"/>
            </w:pPr>
            <w:r/>
            <w:r>
              <w:rPr>
                <w:rFonts w:ascii="Times New Roman" w:hAnsi="Times New Roman"/>
                <w:sz w:val="18"/>
              </w:rPr>
              <w:t>62 (5.4%)</w:t>
            </w:r>
          </w:p>
        </w:tc>
        <w:tc>
          <w:tcPr>
            <w:tcW w:type="dxa" w:w="1560"/>
          </w:tcPr>
          <w:p>
            <w:pPr>
              <w:spacing w:line="240" w:lineRule="auto"/>
            </w:pPr>
            <w:r/>
            <w:r>
              <w:rPr>
                <w:rFonts w:ascii="Times New Roman" w:hAnsi="Times New Roman"/>
                <w:sz w:val="18"/>
              </w:rPr>
              <w:t>171 (4.8%)</w:t>
            </w:r>
          </w:p>
        </w:tc>
        <w:tc>
          <w:tcPr>
            <w:tcW w:type="dxa" w:w="1560"/>
          </w:tcPr>
          <w:p>
            <w:pPr>
              <w:spacing w:line="240" w:lineRule="auto"/>
            </w:pPr>
            <w:r/>
            <w:r>
              <w:rPr>
                <w:rFonts w:ascii="Times New Roman" w:hAnsi="Times New Roman"/>
                <w:sz w:val="18"/>
              </w:rPr>
              <w:t>0.107</w:t>
            </w:r>
          </w:p>
        </w:tc>
      </w:tr>
      <w:tr>
        <w:tc>
          <w:tcPr>
            <w:tcW w:type="dxa" w:w="1560"/>
          </w:tcPr>
          <w:p>
            <w:pPr>
              <w:spacing w:line="240" w:lineRule="auto"/>
            </w:pPr>
            <w:r/>
            <w:r>
              <w:rPr>
                <w:rFonts w:ascii="Times New Roman" w:hAnsi="Times New Roman"/>
                <w:sz w:val="18"/>
              </w:rPr>
              <w:t>RET fusion positive</w:t>
            </w:r>
          </w:p>
        </w:tc>
        <w:tc>
          <w:tcPr>
            <w:tcW w:type="dxa" w:w="1560"/>
          </w:tcPr>
          <w:p>
            <w:pPr>
              <w:spacing w:line="240" w:lineRule="auto"/>
            </w:pPr>
            <w:r/>
            <w:r>
              <w:rPr>
                <w:rFonts w:ascii="Times New Roman" w:hAnsi="Times New Roman"/>
                <w:sz w:val="18"/>
              </w:rPr>
              <w:t>0 (0.0%)</w:t>
            </w:r>
          </w:p>
        </w:tc>
        <w:tc>
          <w:tcPr>
            <w:tcW w:type="dxa" w:w="1560"/>
          </w:tcPr>
          <w:p>
            <w:pPr>
              <w:spacing w:line="240" w:lineRule="auto"/>
            </w:pPr>
            <w:r/>
            <w:r>
              <w:rPr>
                <w:rFonts w:ascii="Times New Roman" w:hAnsi="Times New Roman"/>
                <w:sz w:val="18"/>
              </w:rPr>
              <w:t>10 (0.4%)</w:t>
            </w:r>
          </w:p>
        </w:tc>
        <w:tc>
          <w:tcPr>
            <w:tcW w:type="dxa" w:w="1560"/>
          </w:tcPr>
          <w:p>
            <w:pPr>
              <w:spacing w:line="240" w:lineRule="auto"/>
            </w:pPr>
            <w:r/>
            <w:r>
              <w:rPr>
                <w:rFonts w:ascii="Times New Roman" w:hAnsi="Times New Roman"/>
                <w:sz w:val="18"/>
              </w:rPr>
              <w:t>6 (0.5%)</w:t>
            </w:r>
          </w:p>
        </w:tc>
        <w:tc>
          <w:tcPr>
            <w:tcW w:type="dxa" w:w="1560"/>
          </w:tcPr>
          <w:p>
            <w:pPr>
              <w:spacing w:line="240" w:lineRule="auto"/>
            </w:pPr>
            <w:r/>
            <w:r>
              <w:rPr>
                <w:rFonts w:ascii="Times New Roman" w:hAnsi="Times New Roman"/>
                <w:sz w:val="18"/>
              </w:rPr>
              <w:t>16 (0.4%)</w:t>
            </w:r>
          </w:p>
        </w:tc>
        <w:tc>
          <w:tcPr>
            <w:tcW w:type="dxa" w:w="1560"/>
          </w:tcPr>
          <w:p>
            <w:pPr>
              <w:spacing w:line="240" w:lineRule="auto"/>
            </w:pPr>
            <w:r/>
            <w:r>
              <w:rPr>
                <w:rFonts w:ascii="Times New Roman" w:hAnsi="Times New Roman"/>
                <w:sz w:val="18"/>
              </w:rPr>
              <w:t>0.788</w:t>
            </w:r>
          </w:p>
        </w:tc>
      </w:tr>
      <w:tr>
        <w:tc>
          <w:tcPr>
            <w:tcW w:type="dxa" w:w="1560"/>
          </w:tcPr>
          <w:p>
            <w:pPr>
              <w:spacing w:line="240" w:lineRule="auto"/>
            </w:pPr>
            <w:r/>
            <w:r>
              <w:rPr>
                <w:rFonts w:ascii="Times New Roman" w:hAnsi="Times New Roman"/>
                <w:sz w:val="18"/>
              </w:rPr>
              <w:t>Risk score and follow-up</w:t>
            </w:r>
          </w:p>
        </w:tc>
        <w:tc>
          <w:tcPr>
            <w:tcW w:type="dxa" w:w="1560"/>
          </w:tcPr>
          <w:p>
            <w:pPr>
              <w:spacing w:line="240" w:lineRule="auto"/>
            </w:pPr>
            <w:r/>
            <w:r>
              <w:rPr>
                <w:rFonts w:ascii="Times New Roman" w:hAnsi="Times New Roman"/>
                <w:sz w:val="18"/>
              </w:rPr>
            </w:r>
          </w:p>
        </w:tc>
        <w:tc>
          <w:tcPr>
            <w:tcW w:type="dxa" w:w="1560"/>
          </w:tcPr>
          <w:p>
            <w:pPr>
              <w:spacing w:line="240" w:lineRule="auto"/>
            </w:pPr>
            <w:r/>
            <w:r>
              <w:rPr>
                <w:rFonts w:ascii="Times New Roman" w:hAnsi="Times New Roman"/>
                <w:sz w:val="18"/>
              </w:rPr>
            </w:r>
          </w:p>
        </w:tc>
        <w:tc>
          <w:tcPr>
            <w:tcW w:type="dxa" w:w="1560"/>
          </w:tcPr>
          <w:p>
            <w:pPr>
              <w:spacing w:line="240" w:lineRule="auto"/>
            </w:pPr>
            <w:r/>
            <w:r>
              <w:rPr>
                <w:rFonts w:ascii="Times New Roman" w:hAnsi="Times New Roman"/>
                <w:sz w:val="18"/>
              </w:rPr>
            </w:r>
          </w:p>
        </w:tc>
        <w:tc>
          <w:tcPr>
            <w:tcW w:type="dxa" w:w="1560"/>
          </w:tcPr>
          <w:p>
            <w:pPr>
              <w:spacing w:line="240" w:lineRule="auto"/>
            </w:pPr>
            <w:r/>
            <w:r>
              <w:rPr>
                <w:rFonts w:ascii="Times New Roman" w:hAnsi="Times New Roman"/>
                <w:sz w:val="18"/>
              </w:rPr>
            </w:r>
          </w:p>
        </w:tc>
        <w:tc>
          <w:tcPr>
            <w:tcW w:type="dxa" w:w="1560"/>
          </w:tcPr>
          <w:p>
            <w:pPr>
              <w:spacing w:line="240" w:lineRule="auto"/>
            </w:pPr>
            <w:r/>
            <w:r>
              <w:rPr>
                <w:rFonts w:ascii="Times New Roman" w:hAnsi="Times New Roman"/>
                <w:sz w:val="18"/>
              </w:rPr>
            </w:r>
          </w:p>
        </w:tc>
      </w:tr>
      <w:tr>
        <w:tc>
          <w:tcPr>
            <w:tcW w:type="dxa" w:w="1560"/>
          </w:tcPr>
          <w:p>
            <w:pPr>
              <w:spacing w:line="240" w:lineRule="auto"/>
            </w:pPr>
            <w:r/>
            <w:r>
              <w:rPr>
                <w:rFonts w:ascii="Times New Roman" w:hAnsi="Times New Roman"/>
                <w:sz w:val="18"/>
              </w:rPr>
              <w:t>AGES score, median (IQR)</w:t>
            </w:r>
          </w:p>
        </w:tc>
        <w:tc>
          <w:tcPr>
            <w:tcW w:type="dxa" w:w="1560"/>
          </w:tcPr>
          <w:p>
            <w:pPr>
              <w:spacing w:line="240" w:lineRule="auto"/>
            </w:pPr>
            <w:r/>
            <w:r>
              <w:rPr>
                <w:rFonts w:ascii="Times New Roman" w:hAnsi="Times New Roman"/>
                <w:sz w:val="18"/>
              </w:rPr>
              <w:t>6.05 (3.00–7.33)</w:t>
            </w:r>
          </w:p>
        </w:tc>
        <w:tc>
          <w:tcPr>
            <w:tcW w:type="dxa" w:w="1560"/>
          </w:tcPr>
          <w:p>
            <w:pPr>
              <w:spacing w:line="240" w:lineRule="auto"/>
            </w:pPr>
            <w:r/>
            <w:r>
              <w:rPr>
                <w:rFonts w:ascii="Times New Roman" w:hAnsi="Times New Roman"/>
                <w:sz w:val="18"/>
              </w:rPr>
              <w:t>7.10 (4.70–9.00)</w:t>
            </w:r>
          </w:p>
        </w:tc>
        <w:tc>
          <w:tcPr>
            <w:tcW w:type="dxa" w:w="1560"/>
          </w:tcPr>
          <w:p>
            <w:pPr>
              <w:spacing w:line="240" w:lineRule="auto"/>
            </w:pPr>
            <w:r/>
            <w:r>
              <w:rPr>
                <w:rFonts w:ascii="Times New Roman" w:hAnsi="Times New Roman"/>
                <w:sz w:val="18"/>
              </w:rPr>
              <w:t>8.30 (5.00–10.00)</w:t>
            </w:r>
          </w:p>
        </w:tc>
        <w:tc>
          <w:tcPr>
            <w:tcW w:type="dxa" w:w="1560"/>
          </w:tcPr>
          <w:p>
            <w:pPr>
              <w:spacing w:line="240" w:lineRule="auto"/>
            </w:pPr>
            <w:r/>
            <w:r>
              <w:rPr>
                <w:rFonts w:ascii="Times New Roman" w:hAnsi="Times New Roman"/>
                <w:sz w:val="18"/>
              </w:rPr>
              <w:t>7.40 (4.90–9.30)</w:t>
            </w:r>
          </w:p>
        </w:tc>
        <w:tc>
          <w:tcPr>
            <w:tcW w:type="dxa" w:w="1560"/>
          </w:tcPr>
          <w:p>
            <w:pPr>
              <w:spacing w:line="240" w:lineRule="auto"/>
            </w:pPr>
            <w:r/>
            <w:r>
              <w:rPr>
                <w:rFonts w:ascii="Times New Roman" w:hAnsi="Times New Roman"/>
                <w:sz w:val="18"/>
              </w:rPr>
              <w:t>&lt;0.001</w:t>
            </w:r>
          </w:p>
        </w:tc>
      </w:tr>
      <w:tr>
        <w:tc>
          <w:tcPr>
            <w:tcW w:type="dxa" w:w="1560"/>
          </w:tcPr>
          <w:p>
            <w:pPr>
              <w:spacing w:line="240" w:lineRule="auto"/>
            </w:pPr>
            <w:r/>
            <w:r>
              <w:rPr>
                <w:rFonts w:ascii="Times New Roman" w:hAnsi="Times New Roman"/>
                <w:sz w:val="18"/>
              </w:rPr>
              <w:t>Follow-up, y, median (IQR)</w:t>
            </w:r>
          </w:p>
        </w:tc>
        <w:tc>
          <w:tcPr>
            <w:tcW w:type="dxa" w:w="1560"/>
          </w:tcPr>
          <w:p>
            <w:pPr>
              <w:spacing w:line="240" w:lineRule="auto"/>
            </w:pPr>
            <w:r/>
            <w:r>
              <w:rPr>
                <w:rFonts w:ascii="Times New Roman" w:hAnsi="Times New Roman"/>
                <w:sz w:val="18"/>
              </w:rPr>
              <w:t>1.42 (0.00–6.36)</w:t>
            </w:r>
          </w:p>
        </w:tc>
        <w:tc>
          <w:tcPr>
            <w:tcW w:type="dxa" w:w="1560"/>
          </w:tcPr>
          <w:p>
            <w:pPr>
              <w:spacing w:line="240" w:lineRule="auto"/>
            </w:pPr>
            <w:r/>
            <w:r>
              <w:rPr>
                <w:rFonts w:ascii="Times New Roman" w:hAnsi="Times New Roman"/>
                <w:sz w:val="18"/>
              </w:rPr>
              <w:t>0.70 (0.00–4.34)</w:t>
            </w:r>
          </w:p>
        </w:tc>
        <w:tc>
          <w:tcPr>
            <w:tcW w:type="dxa" w:w="1560"/>
          </w:tcPr>
          <w:p>
            <w:pPr>
              <w:spacing w:line="240" w:lineRule="auto"/>
            </w:pPr>
            <w:r/>
            <w:r>
              <w:rPr>
                <w:rFonts w:ascii="Times New Roman" w:hAnsi="Times New Roman"/>
                <w:sz w:val="18"/>
              </w:rPr>
              <w:t>1.99 (0.04–5.65)</w:t>
            </w:r>
          </w:p>
        </w:tc>
        <w:tc>
          <w:tcPr>
            <w:tcW w:type="dxa" w:w="1560"/>
          </w:tcPr>
          <w:p>
            <w:pPr>
              <w:spacing w:line="240" w:lineRule="auto"/>
            </w:pPr>
            <w:r/>
            <w:r>
              <w:rPr>
                <w:rFonts w:ascii="Times New Roman" w:hAnsi="Times New Roman"/>
                <w:sz w:val="18"/>
              </w:rPr>
              <w:t>1.12 (0.00–4.95)</w:t>
            </w:r>
          </w:p>
        </w:tc>
        <w:tc>
          <w:tcPr>
            <w:tcW w:type="dxa" w:w="1560"/>
          </w:tcPr>
          <w:p>
            <w:pPr>
              <w:spacing w:line="240" w:lineRule="auto"/>
            </w:pPr>
            <w:r/>
            <w:r>
              <w:rPr>
                <w:rFonts w:ascii="Times New Roman" w:hAnsi="Times New Roman"/>
                <w:sz w:val="18"/>
              </w:rPr>
              <w:t>&lt;0.001</w:t>
            </w:r>
          </w:p>
        </w:tc>
      </w:tr>
      <w:tr>
        <w:tc>
          <w:tcPr>
            <w:tcW w:type="dxa" w:w="1560"/>
          </w:tcPr>
          <w:p>
            <w:pPr>
              <w:spacing w:line="240" w:lineRule="auto"/>
            </w:pPr>
            <w:r/>
            <w:r>
              <w:rPr>
                <w:rFonts w:ascii="Times New Roman" w:hAnsi="Times New Roman"/>
                <w:sz w:val="18"/>
              </w:rPr>
              <w:t>Follow-up = 0 y</w:t>
            </w:r>
          </w:p>
        </w:tc>
        <w:tc>
          <w:tcPr>
            <w:tcW w:type="dxa" w:w="1560"/>
          </w:tcPr>
          <w:p>
            <w:pPr>
              <w:spacing w:line="240" w:lineRule="auto"/>
            </w:pPr>
            <w:r/>
            <w:r>
              <w:rPr>
                <w:rFonts w:ascii="Times New Roman" w:hAnsi="Times New Roman"/>
                <w:sz w:val="18"/>
              </w:rPr>
              <w:t>25 (36.8%)</w:t>
            </w:r>
          </w:p>
        </w:tc>
        <w:tc>
          <w:tcPr>
            <w:tcW w:type="dxa" w:w="1560"/>
          </w:tcPr>
          <w:p>
            <w:pPr>
              <w:spacing w:line="240" w:lineRule="auto"/>
            </w:pPr>
            <w:r/>
            <w:r>
              <w:rPr>
                <w:rFonts w:ascii="Times New Roman" w:hAnsi="Times New Roman"/>
                <w:sz w:val="18"/>
              </w:rPr>
              <w:t>893 (37.9%)</w:t>
            </w:r>
          </w:p>
        </w:tc>
        <w:tc>
          <w:tcPr>
            <w:tcW w:type="dxa" w:w="1560"/>
          </w:tcPr>
          <w:p>
            <w:pPr>
              <w:spacing w:line="240" w:lineRule="auto"/>
            </w:pPr>
            <w:r/>
            <w:r>
              <w:rPr>
                <w:rFonts w:ascii="Times New Roman" w:hAnsi="Times New Roman"/>
                <w:sz w:val="18"/>
              </w:rPr>
              <w:t>269 (23.4%)</w:t>
            </w:r>
          </w:p>
        </w:tc>
        <w:tc>
          <w:tcPr>
            <w:tcW w:type="dxa" w:w="1560"/>
          </w:tcPr>
          <w:p>
            <w:pPr>
              <w:spacing w:line="240" w:lineRule="auto"/>
            </w:pPr>
            <w:r/>
            <w:r>
              <w:rPr>
                <w:rFonts w:ascii="Times New Roman" w:hAnsi="Times New Roman"/>
                <w:sz w:val="18"/>
              </w:rPr>
              <w:t>1,187 (33.2%)</w:t>
            </w:r>
          </w:p>
        </w:tc>
        <w:tc>
          <w:tcPr>
            <w:tcW w:type="dxa" w:w="1560"/>
          </w:tcPr>
          <w:p>
            <w:pPr>
              <w:spacing w:line="240" w:lineRule="auto"/>
            </w:pPr>
            <w:r/>
            <w:r>
              <w:rPr>
                <w:rFonts w:ascii="Times New Roman" w:hAnsi="Times New Roman"/>
                <w:sz w:val="18"/>
              </w:rPr>
              <w:t>&lt;0.001</w:t>
            </w:r>
          </w:p>
        </w:tc>
      </w:tr>
      <w:tr>
        <w:tc>
          <w:tcPr>
            <w:tcW w:type="dxa" w:w="1560"/>
          </w:tcPr>
          <w:p>
            <w:pPr>
              <w:spacing w:line="240" w:lineRule="auto"/>
            </w:pPr>
            <w:r/>
            <w:r>
              <w:rPr>
                <w:rFonts w:ascii="Times New Roman" w:hAnsi="Times New Roman"/>
                <w:sz w:val="18"/>
              </w:rPr>
              <w:t>Recurrence</w:t>
            </w:r>
          </w:p>
        </w:tc>
        <w:tc>
          <w:tcPr>
            <w:tcW w:type="dxa" w:w="1560"/>
          </w:tcPr>
          <w:p>
            <w:pPr>
              <w:spacing w:line="240" w:lineRule="auto"/>
            </w:pPr>
            <w:r/>
            <w:r>
              <w:rPr>
                <w:rFonts w:ascii="Times New Roman" w:hAnsi="Times New Roman"/>
                <w:sz w:val="18"/>
              </w:rPr>
            </w:r>
          </w:p>
        </w:tc>
        <w:tc>
          <w:tcPr>
            <w:tcW w:type="dxa" w:w="1560"/>
          </w:tcPr>
          <w:p>
            <w:pPr>
              <w:spacing w:line="240" w:lineRule="auto"/>
            </w:pPr>
            <w:r/>
            <w:r>
              <w:rPr>
                <w:rFonts w:ascii="Times New Roman" w:hAnsi="Times New Roman"/>
                <w:sz w:val="18"/>
              </w:rPr>
            </w:r>
          </w:p>
        </w:tc>
        <w:tc>
          <w:tcPr>
            <w:tcW w:type="dxa" w:w="1560"/>
          </w:tcPr>
          <w:p>
            <w:pPr>
              <w:spacing w:line="240" w:lineRule="auto"/>
            </w:pPr>
            <w:r/>
            <w:r>
              <w:rPr>
                <w:rFonts w:ascii="Times New Roman" w:hAnsi="Times New Roman"/>
                <w:sz w:val="18"/>
              </w:rPr>
            </w:r>
          </w:p>
        </w:tc>
        <w:tc>
          <w:tcPr>
            <w:tcW w:type="dxa" w:w="1560"/>
          </w:tcPr>
          <w:p>
            <w:pPr>
              <w:spacing w:line="240" w:lineRule="auto"/>
            </w:pPr>
            <w:r/>
            <w:r>
              <w:rPr>
                <w:rFonts w:ascii="Times New Roman" w:hAnsi="Times New Roman"/>
                <w:sz w:val="18"/>
              </w:rPr>
            </w:r>
          </w:p>
        </w:tc>
        <w:tc>
          <w:tcPr>
            <w:tcW w:type="dxa" w:w="1560"/>
          </w:tcPr>
          <w:p>
            <w:pPr>
              <w:spacing w:line="240" w:lineRule="auto"/>
            </w:pPr>
            <w:r/>
            <w:r>
              <w:rPr>
                <w:rFonts w:ascii="Times New Roman" w:hAnsi="Times New Roman"/>
                <w:sz w:val="18"/>
              </w:rPr>
            </w:r>
          </w:p>
        </w:tc>
      </w:tr>
      <w:tr>
        <w:tc>
          <w:tcPr>
            <w:tcW w:type="dxa" w:w="1560"/>
          </w:tcPr>
          <w:p>
            <w:pPr>
              <w:spacing w:line="240" w:lineRule="auto"/>
            </w:pPr>
            <w:r/>
            <w:r>
              <w:rPr>
                <w:rFonts w:ascii="Times New Roman" w:hAnsi="Times New Roman"/>
                <w:sz w:val="18"/>
              </w:rPr>
              <w:t>Path-proven (PRIMARY ENDPOINT)</w:t>
            </w:r>
          </w:p>
        </w:tc>
        <w:tc>
          <w:tcPr>
            <w:tcW w:type="dxa" w:w="1560"/>
          </w:tcPr>
          <w:p>
            <w:pPr>
              <w:spacing w:line="240" w:lineRule="auto"/>
            </w:pPr>
            <w:r/>
            <w:r>
              <w:rPr>
                <w:rFonts w:ascii="Times New Roman" w:hAnsi="Times New Roman"/>
                <w:sz w:val="18"/>
              </w:rPr>
              <w:t>3 (4.4%)</w:t>
            </w:r>
          </w:p>
        </w:tc>
        <w:tc>
          <w:tcPr>
            <w:tcW w:type="dxa" w:w="1560"/>
          </w:tcPr>
          <w:p>
            <w:pPr>
              <w:spacing w:line="240" w:lineRule="auto"/>
            </w:pPr>
            <w:r/>
            <w:r>
              <w:rPr>
                <w:rFonts w:ascii="Times New Roman" w:hAnsi="Times New Roman"/>
                <w:sz w:val="18"/>
              </w:rPr>
              <w:t>45 (1.9%)</w:t>
            </w:r>
          </w:p>
        </w:tc>
        <w:tc>
          <w:tcPr>
            <w:tcW w:type="dxa" w:w="1560"/>
          </w:tcPr>
          <w:p>
            <w:pPr>
              <w:spacing w:line="240" w:lineRule="auto"/>
            </w:pPr>
            <w:r/>
            <w:r>
              <w:rPr>
                <w:rFonts w:ascii="Times New Roman" w:hAnsi="Times New Roman"/>
                <w:sz w:val="18"/>
              </w:rPr>
              <w:t>57 (5.0%)</w:t>
            </w:r>
          </w:p>
        </w:tc>
        <w:tc>
          <w:tcPr>
            <w:tcW w:type="dxa" w:w="1560"/>
          </w:tcPr>
          <w:p>
            <w:pPr>
              <w:spacing w:line="240" w:lineRule="auto"/>
            </w:pPr>
            <w:r/>
            <w:r>
              <w:rPr>
                <w:rFonts w:ascii="Times New Roman" w:hAnsi="Times New Roman"/>
                <w:sz w:val="18"/>
              </w:rPr>
              <w:t>105 (2.9%)</w:t>
            </w:r>
          </w:p>
        </w:tc>
        <w:tc>
          <w:tcPr>
            <w:tcW w:type="dxa" w:w="1560"/>
          </w:tcPr>
          <w:p>
            <w:pPr>
              <w:spacing w:line="240" w:lineRule="auto"/>
            </w:pPr>
            <w:r/>
            <w:r>
              <w:rPr>
                <w:rFonts w:ascii="Times New Roman" w:hAnsi="Times New Roman"/>
                <w:sz w:val="18"/>
              </w:rPr>
              <w:t>&lt;0.001</w:t>
            </w:r>
          </w:p>
        </w:tc>
      </w:tr>
      <w:tr>
        <w:tc>
          <w:tcPr>
            <w:tcW w:type="dxa" w:w="1560"/>
          </w:tcPr>
          <w:p>
            <w:pPr>
              <w:spacing w:line="240" w:lineRule="auto"/>
            </w:pPr>
            <w:r/>
            <w:r>
              <w:rPr>
                <w:rFonts w:ascii="Times New Roman" w:hAnsi="Times New Roman"/>
                <w:sz w:val="18"/>
              </w:rPr>
              <w:t>Imaging-only-unconfirmed</w:t>
            </w:r>
          </w:p>
        </w:tc>
        <w:tc>
          <w:tcPr>
            <w:tcW w:type="dxa" w:w="1560"/>
          </w:tcPr>
          <w:p>
            <w:pPr>
              <w:spacing w:line="240" w:lineRule="auto"/>
            </w:pPr>
            <w:r/>
            <w:r>
              <w:rPr>
                <w:rFonts w:ascii="Times New Roman" w:hAnsi="Times New Roman"/>
                <w:sz w:val="18"/>
              </w:rPr>
              <w:t>1 (1.5%)</w:t>
            </w:r>
          </w:p>
        </w:tc>
        <w:tc>
          <w:tcPr>
            <w:tcW w:type="dxa" w:w="1560"/>
          </w:tcPr>
          <w:p>
            <w:pPr>
              <w:spacing w:line="240" w:lineRule="auto"/>
            </w:pPr>
            <w:r/>
            <w:r>
              <w:rPr>
                <w:rFonts w:ascii="Times New Roman" w:hAnsi="Times New Roman"/>
                <w:sz w:val="18"/>
              </w:rPr>
              <w:t>71 (3.0%)</w:t>
            </w:r>
          </w:p>
        </w:tc>
        <w:tc>
          <w:tcPr>
            <w:tcW w:type="dxa" w:w="1560"/>
          </w:tcPr>
          <w:p>
            <w:pPr>
              <w:spacing w:line="240" w:lineRule="auto"/>
            </w:pPr>
            <w:r/>
            <w:r>
              <w:rPr>
                <w:rFonts w:ascii="Times New Roman" w:hAnsi="Times New Roman"/>
                <w:sz w:val="18"/>
              </w:rPr>
              <w:t>64 (5.6%)</w:t>
            </w:r>
          </w:p>
        </w:tc>
        <w:tc>
          <w:tcPr>
            <w:tcW w:type="dxa" w:w="1560"/>
          </w:tcPr>
          <w:p>
            <w:pPr>
              <w:spacing w:line="240" w:lineRule="auto"/>
            </w:pPr>
            <w:r/>
            <w:r>
              <w:rPr>
                <w:rFonts w:ascii="Times New Roman" w:hAnsi="Times New Roman"/>
                <w:sz w:val="18"/>
              </w:rPr>
              <w:t>136 (3.8%)</w:t>
            </w:r>
          </w:p>
        </w:tc>
        <w:tc>
          <w:tcPr>
            <w:tcW w:type="dxa" w:w="1560"/>
          </w:tcPr>
          <w:p>
            <w:pPr>
              <w:spacing w:line="240" w:lineRule="auto"/>
            </w:pPr>
            <w:r/>
            <w:r>
              <w:rPr>
                <w:rFonts w:ascii="Times New Roman" w:hAnsi="Times New Roman"/>
                <w:sz w:val="18"/>
              </w:rPr>
              <w:t>&lt;0.001</w:t>
            </w:r>
          </w:p>
        </w:tc>
      </w:tr>
      <w:tr>
        <w:tc>
          <w:tcPr>
            <w:tcW w:type="dxa" w:w="1560"/>
          </w:tcPr>
          <w:p>
            <w:pPr>
              <w:spacing w:line="240" w:lineRule="auto"/>
            </w:pPr>
            <w:r/>
            <w:r>
              <w:rPr>
                <w:rFonts w:ascii="Times New Roman" w:hAnsi="Times New Roman"/>
                <w:sz w:val="18"/>
              </w:rPr>
              <w:t>Composite (path or imaging)</w:t>
            </w:r>
          </w:p>
        </w:tc>
        <w:tc>
          <w:tcPr>
            <w:tcW w:type="dxa" w:w="1560"/>
          </w:tcPr>
          <w:p>
            <w:pPr>
              <w:spacing w:line="240" w:lineRule="auto"/>
            </w:pPr>
            <w:r/>
            <w:r>
              <w:rPr>
                <w:rFonts w:ascii="Times New Roman" w:hAnsi="Times New Roman"/>
                <w:sz w:val="18"/>
              </w:rPr>
              <w:t>4 (5.9%)</w:t>
            </w:r>
          </w:p>
        </w:tc>
        <w:tc>
          <w:tcPr>
            <w:tcW w:type="dxa" w:w="1560"/>
          </w:tcPr>
          <w:p>
            <w:pPr>
              <w:spacing w:line="240" w:lineRule="auto"/>
            </w:pPr>
            <w:r/>
            <w:r>
              <w:rPr>
                <w:rFonts w:ascii="Times New Roman" w:hAnsi="Times New Roman"/>
                <w:sz w:val="18"/>
              </w:rPr>
              <w:t>116 (4.9%)</w:t>
            </w:r>
          </w:p>
        </w:tc>
        <w:tc>
          <w:tcPr>
            <w:tcW w:type="dxa" w:w="1560"/>
          </w:tcPr>
          <w:p>
            <w:pPr>
              <w:spacing w:line="240" w:lineRule="auto"/>
            </w:pPr>
            <w:r/>
            <w:r>
              <w:rPr>
                <w:rFonts w:ascii="Times New Roman" w:hAnsi="Times New Roman"/>
                <w:sz w:val="18"/>
              </w:rPr>
              <w:t>121 (10.5%)</w:t>
            </w:r>
          </w:p>
        </w:tc>
        <w:tc>
          <w:tcPr>
            <w:tcW w:type="dxa" w:w="1560"/>
          </w:tcPr>
          <w:p>
            <w:pPr>
              <w:spacing w:line="240" w:lineRule="auto"/>
            </w:pPr>
            <w:r/>
            <w:r>
              <w:rPr>
                <w:rFonts w:ascii="Times New Roman" w:hAnsi="Times New Roman"/>
                <w:sz w:val="18"/>
              </w:rPr>
              <w:t>241 (6.7%)</w:t>
            </w:r>
          </w:p>
        </w:tc>
        <w:tc>
          <w:tcPr>
            <w:tcW w:type="dxa" w:w="1560"/>
          </w:tcPr>
          <w:p>
            <w:pPr>
              <w:spacing w:line="240" w:lineRule="auto"/>
            </w:pPr>
            <w:r/>
            <w:r>
              <w:rPr>
                <w:rFonts w:ascii="Times New Roman" w:hAnsi="Times New Roman"/>
                <w:sz w:val="18"/>
              </w:rPr>
              <w:t>&lt;0.001</w:t>
            </w:r>
          </w:p>
        </w:tc>
      </w:tr>
      <w:tr>
        <w:tc>
          <w:tcPr>
            <w:tcW w:type="dxa" w:w="1560"/>
          </w:tcPr>
          <w:p>
            <w:pPr>
              <w:spacing w:line="240" w:lineRule="auto"/>
            </w:pPr>
            <w:r/>
            <w:r>
              <w:rPr>
                <w:rFonts w:ascii="Times New Roman" w:hAnsi="Times New Roman"/>
                <w:sz w:val="18"/>
              </w:rPr>
              <w:t>Imaging-then-path confirmed</w:t>
            </w:r>
          </w:p>
        </w:tc>
        <w:tc>
          <w:tcPr>
            <w:tcW w:type="dxa" w:w="1560"/>
          </w:tcPr>
          <w:p>
            <w:pPr>
              <w:spacing w:line="240" w:lineRule="auto"/>
            </w:pPr>
            <w:r/>
            <w:r>
              <w:rPr>
                <w:rFonts w:ascii="Times New Roman" w:hAnsi="Times New Roman"/>
                <w:sz w:val="18"/>
              </w:rPr>
              <w:t>1 (1.5%)</w:t>
            </w:r>
          </w:p>
        </w:tc>
        <w:tc>
          <w:tcPr>
            <w:tcW w:type="dxa" w:w="1560"/>
          </w:tcPr>
          <w:p>
            <w:pPr>
              <w:spacing w:line="240" w:lineRule="auto"/>
            </w:pPr>
            <w:r/>
            <w:r>
              <w:rPr>
                <w:rFonts w:ascii="Times New Roman" w:hAnsi="Times New Roman"/>
                <w:sz w:val="18"/>
              </w:rPr>
              <w:t>8 (0.3%)</w:t>
            </w:r>
          </w:p>
        </w:tc>
        <w:tc>
          <w:tcPr>
            <w:tcW w:type="dxa" w:w="1560"/>
          </w:tcPr>
          <w:p>
            <w:pPr>
              <w:spacing w:line="240" w:lineRule="auto"/>
            </w:pPr>
            <w:r/>
            <w:r>
              <w:rPr>
                <w:rFonts w:ascii="Times New Roman" w:hAnsi="Times New Roman"/>
                <w:sz w:val="18"/>
              </w:rPr>
              <w:t>12 (1.0%)</w:t>
            </w:r>
          </w:p>
        </w:tc>
        <w:tc>
          <w:tcPr>
            <w:tcW w:type="dxa" w:w="1560"/>
          </w:tcPr>
          <w:p>
            <w:pPr>
              <w:spacing w:line="240" w:lineRule="auto"/>
            </w:pPr>
            <w:r/>
            <w:r>
              <w:rPr>
                <w:rFonts w:ascii="Times New Roman" w:hAnsi="Times New Roman"/>
                <w:sz w:val="18"/>
              </w:rPr>
              <w:t>21 (0.6%)</w:t>
            </w:r>
          </w:p>
        </w:tc>
        <w:tc>
          <w:tcPr>
            <w:tcW w:type="dxa" w:w="1560"/>
          </w:tcPr>
          <w:p>
            <w:pPr>
              <w:spacing w:line="240" w:lineRule="auto"/>
            </w:pPr>
            <w:r/>
            <w:r>
              <w:rPr>
                <w:rFonts w:ascii="Times New Roman" w:hAnsi="Times New Roman"/>
                <w:sz w:val="18"/>
              </w:rPr>
              <w:t>0.024</w:t>
            </w:r>
          </w:p>
        </w:tc>
      </w:tr>
      <w:tr>
        <w:tc>
          <w:tcPr>
            <w:tcW w:type="dxa" w:w="1560"/>
          </w:tcPr>
          <w:p>
            <w:pPr>
              <w:spacing w:line="240" w:lineRule="auto"/>
            </w:pPr>
            <w:r/>
            <w:r>
              <w:rPr>
                <w:rFonts w:ascii="Times New Roman" w:hAnsi="Times New Roman"/>
                <w:sz w:val="18"/>
              </w:rPr>
              <w:t>Death (descriptive)</w:t>
            </w:r>
          </w:p>
        </w:tc>
        <w:tc>
          <w:tcPr>
            <w:tcW w:type="dxa" w:w="1560"/>
          </w:tcPr>
          <w:p>
            <w:pPr>
              <w:spacing w:line="240" w:lineRule="auto"/>
            </w:pPr>
            <w:r/>
            <w:r>
              <w:rPr>
                <w:rFonts w:ascii="Times New Roman" w:hAnsi="Times New Roman"/>
                <w:sz w:val="18"/>
              </w:rPr>
              <w:t>3 (4.4%)</w:t>
            </w:r>
          </w:p>
        </w:tc>
        <w:tc>
          <w:tcPr>
            <w:tcW w:type="dxa" w:w="1560"/>
          </w:tcPr>
          <w:p>
            <w:pPr>
              <w:spacing w:line="240" w:lineRule="auto"/>
            </w:pPr>
            <w:r/>
            <w:r>
              <w:rPr>
                <w:rFonts w:ascii="Times New Roman" w:hAnsi="Times New Roman"/>
                <w:sz w:val="18"/>
              </w:rPr>
              <w:t>40 (1.7%)</w:t>
            </w:r>
          </w:p>
        </w:tc>
        <w:tc>
          <w:tcPr>
            <w:tcW w:type="dxa" w:w="1560"/>
          </w:tcPr>
          <w:p>
            <w:pPr>
              <w:spacing w:line="240" w:lineRule="auto"/>
            </w:pPr>
            <w:r/>
            <w:r>
              <w:rPr>
                <w:rFonts w:ascii="Times New Roman" w:hAnsi="Times New Roman"/>
                <w:sz w:val="18"/>
              </w:rPr>
              <w:t>27 (2.3%)</w:t>
            </w:r>
          </w:p>
        </w:tc>
        <w:tc>
          <w:tcPr>
            <w:tcW w:type="dxa" w:w="1560"/>
          </w:tcPr>
          <w:p>
            <w:pPr>
              <w:spacing w:line="240" w:lineRule="auto"/>
            </w:pPr>
            <w:r/>
            <w:r>
              <w:rPr>
                <w:rFonts w:ascii="Times New Roman" w:hAnsi="Times New Roman"/>
                <w:sz w:val="18"/>
              </w:rPr>
              <w:t>70 (2.0%)</w:t>
            </w:r>
          </w:p>
        </w:tc>
        <w:tc>
          <w:tcPr>
            <w:tcW w:type="dxa" w:w="1560"/>
          </w:tcPr>
          <w:p>
            <w:pPr>
              <w:spacing w:line="240" w:lineRule="auto"/>
            </w:pPr>
            <w:r/>
            <w:r>
              <w:rPr>
                <w:rFonts w:ascii="Times New Roman" w:hAnsi="Times New Roman"/>
                <w:sz w:val="18"/>
              </w:rPr>
              <w:t>0.143</w:t>
            </w:r>
          </w:p>
        </w:tc>
      </w:tr>
    </w:tbl>
    <w:p>
      <w:pPr>
        <w:spacing w:line="240" w:lineRule="auto"/>
      </w:pPr>
      <w:r>
        <w:rPr>
          <w:rFonts w:ascii="Times New Roman" w:hAnsi="Times New Roman"/>
          <w:b w:val="0"/>
          <w:i/>
          <w:sz w:val="24"/>
        </w:rPr>
        <w:t>RAI is shown as a descriptive baseline characteristic and is not a covariate in the primary regression. Any LVI composite = lymphatic OR vascular invasion present, extensive, or focal. Lymphatic and vascular invasion are modeled separately as 5-level categorical variables in the primary regression. AGES = age, grade, extent, size composite risk score.</w:t>
      </w:r>
    </w:p>
    <w:p>
      <w:r>
        <w:br w:type="page"/>
      </w:r>
    </w:p>
    <w:p>
      <w:pPr>
        <w:spacing w:line="240" w:lineRule="auto"/>
      </w:pPr>
      <w:r>
        <w:rPr>
          <w:rFonts w:ascii="Times New Roman" w:hAnsi="Times New Roman"/>
          <w:b/>
          <w:sz w:val="24"/>
        </w:rPr>
        <w:t xml:space="preserve">Table 2. </w:t>
      </w:r>
      <w:r>
        <w:rPr>
          <w:rFonts w:ascii="Times New Roman" w:hAnsi="Times New Roman"/>
          <w:sz w:val="24"/>
        </w:rPr>
        <w:t>Primary multivariable logistic regression for path-proven recurrence (N = 3,572; 105 events).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pPr>
              <w:spacing w:line="240" w:lineRule="auto"/>
            </w:pPr>
            <w:r/>
            <w:r>
              <w:rPr>
                <w:rFonts w:ascii="Times New Roman" w:hAnsi="Times New Roman"/>
                <w:b/>
                <w:sz w:val="18"/>
              </w:rPr>
              <w:t>Variable</w:t>
            </w:r>
          </w:p>
        </w:tc>
        <w:tc>
          <w:tcPr>
            <w:tcW w:type="dxa" w:w="2340"/>
          </w:tcPr>
          <w:p>
            <w:pPr>
              <w:spacing w:line="240" w:lineRule="auto"/>
            </w:pPr>
            <w:r/>
            <w:r>
              <w:rPr>
                <w:rFonts w:ascii="Times New Roman" w:hAnsi="Times New Roman"/>
                <w:b/>
                <w:sz w:val="18"/>
              </w:rPr>
              <w:t>Adjusted OR</w:t>
            </w:r>
          </w:p>
        </w:tc>
        <w:tc>
          <w:tcPr>
            <w:tcW w:type="dxa" w:w="2340"/>
          </w:tcPr>
          <w:p>
            <w:pPr>
              <w:spacing w:line="240" w:lineRule="auto"/>
            </w:pPr>
            <w:r/>
            <w:r>
              <w:rPr>
                <w:rFonts w:ascii="Times New Roman" w:hAnsi="Times New Roman"/>
                <w:b/>
                <w:sz w:val="18"/>
              </w:rPr>
              <w:t>95% CI</w:t>
            </w:r>
          </w:p>
        </w:tc>
        <w:tc>
          <w:tcPr>
            <w:tcW w:type="dxa" w:w="2340"/>
          </w:tcPr>
          <w:p>
            <w:pPr>
              <w:spacing w:line="240" w:lineRule="auto"/>
            </w:pPr>
            <w:r/>
            <w:r>
              <w:rPr>
                <w:rFonts w:ascii="Times New Roman" w:hAnsi="Times New Roman"/>
                <w:b/>
                <w:sz w:val="18"/>
              </w:rPr>
              <w:t>p</w:t>
            </w:r>
          </w:p>
        </w:tc>
      </w:tr>
      <w:tr>
        <w:tc>
          <w:tcPr>
            <w:tcW w:type="dxa" w:w="2340"/>
          </w:tcPr>
          <w:p>
            <w:pPr>
              <w:spacing w:line="240" w:lineRule="auto"/>
            </w:pPr>
            <w:r/>
            <w:r>
              <w:rPr>
                <w:rFonts w:ascii="Times New Roman" w:hAnsi="Times New Roman"/>
                <w:sz w:val="18"/>
              </w:rPr>
              <w:t>ETE: Gross vs Microscopic (ref)</w:t>
            </w:r>
          </w:p>
        </w:tc>
        <w:tc>
          <w:tcPr>
            <w:tcW w:type="dxa" w:w="2340"/>
          </w:tcPr>
          <w:p>
            <w:pPr>
              <w:spacing w:line="240" w:lineRule="auto"/>
            </w:pPr>
            <w:r/>
            <w:r>
              <w:rPr>
                <w:rFonts w:ascii="Times New Roman" w:hAnsi="Times New Roman"/>
                <w:sz w:val="18"/>
              </w:rPr>
              <w:t>1.77</w:t>
            </w:r>
          </w:p>
        </w:tc>
        <w:tc>
          <w:tcPr>
            <w:tcW w:type="dxa" w:w="2340"/>
          </w:tcPr>
          <w:p>
            <w:pPr>
              <w:spacing w:line="240" w:lineRule="auto"/>
            </w:pPr>
            <w:r/>
            <w:r>
              <w:rPr>
                <w:rFonts w:ascii="Times New Roman" w:hAnsi="Times New Roman"/>
                <w:sz w:val="18"/>
              </w:rPr>
              <w:t>1.15–2.71</w:t>
            </w:r>
          </w:p>
        </w:tc>
        <w:tc>
          <w:tcPr>
            <w:tcW w:type="dxa" w:w="2340"/>
          </w:tcPr>
          <w:p>
            <w:pPr>
              <w:spacing w:line="240" w:lineRule="auto"/>
            </w:pPr>
            <w:r/>
            <w:r>
              <w:rPr>
                <w:rFonts w:ascii="Times New Roman" w:hAnsi="Times New Roman"/>
                <w:sz w:val="18"/>
              </w:rPr>
              <w:t>0.009</w:t>
            </w:r>
          </w:p>
        </w:tc>
      </w:tr>
      <w:tr>
        <w:tc>
          <w:tcPr>
            <w:tcW w:type="dxa" w:w="2340"/>
          </w:tcPr>
          <w:p>
            <w:pPr>
              <w:spacing w:line="240" w:lineRule="auto"/>
            </w:pPr>
            <w:r/>
            <w:r>
              <w:rPr>
                <w:rFonts w:ascii="Times New Roman" w:hAnsi="Times New Roman"/>
                <w:sz w:val="18"/>
              </w:rPr>
              <w:t>ETE: No/negative vs Microscopic</w:t>
            </w:r>
          </w:p>
        </w:tc>
        <w:tc>
          <w:tcPr>
            <w:tcW w:type="dxa" w:w="2340"/>
          </w:tcPr>
          <w:p>
            <w:pPr>
              <w:spacing w:line="240" w:lineRule="auto"/>
            </w:pPr>
            <w:r/>
            <w:r>
              <w:rPr>
                <w:rFonts w:ascii="Times New Roman" w:hAnsi="Times New Roman"/>
                <w:sz w:val="18"/>
              </w:rPr>
              <w:t>2.72</w:t>
            </w:r>
          </w:p>
        </w:tc>
        <w:tc>
          <w:tcPr>
            <w:tcW w:type="dxa" w:w="2340"/>
          </w:tcPr>
          <w:p>
            <w:pPr>
              <w:spacing w:line="240" w:lineRule="auto"/>
            </w:pPr>
            <w:r/>
            <w:r>
              <w:rPr>
                <w:rFonts w:ascii="Times New Roman" w:hAnsi="Times New Roman"/>
                <w:sz w:val="18"/>
              </w:rPr>
              <w:t>0.80–9.30</w:t>
            </w:r>
          </w:p>
        </w:tc>
        <w:tc>
          <w:tcPr>
            <w:tcW w:type="dxa" w:w="2340"/>
          </w:tcPr>
          <w:p>
            <w:pPr>
              <w:spacing w:line="240" w:lineRule="auto"/>
            </w:pPr>
            <w:r/>
            <w:r>
              <w:rPr>
                <w:rFonts w:ascii="Times New Roman" w:hAnsi="Times New Roman"/>
                <w:sz w:val="18"/>
              </w:rPr>
              <w:t>0.111</w:t>
            </w:r>
          </w:p>
        </w:tc>
      </w:tr>
      <w:tr>
        <w:tc>
          <w:tcPr>
            <w:tcW w:type="dxa" w:w="2340"/>
          </w:tcPr>
          <w:p>
            <w:pPr>
              <w:spacing w:line="240" w:lineRule="auto"/>
            </w:pPr>
            <w:r/>
            <w:r>
              <w:rPr>
                <w:rFonts w:ascii="Times New Roman" w:hAnsi="Times New Roman"/>
                <w:sz w:val="18"/>
              </w:rPr>
              <w:t>Age, per 10 y</w:t>
            </w:r>
          </w:p>
        </w:tc>
        <w:tc>
          <w:tcPr>
            <w:tcW w:type="dxa" w:w="2340"/>
          </w:tcPr>
          <w:p>
            <w:pPr>
              <w:spacing w:line="240" w:lineRule="auto"/>
            </w:pPr>
            <w:r/>
            <w:r>
              <w:rPr>
                <w:rFonts w:ascii="Times New Roman" w:hAnsi="Times New Roman"/>
                <w:sz w:val="18"/>
              </w:rPr>
              <w:t>0.98</w:t>
            </w:r>
          </w:p>
        </w:tc>
        <w:tc>
          <w:tcPr>
            <w:tcW w:type="dxa" w:w="2340"/>
          </w:tcPr>
          <w:p>
            <w:pPr>
              <w:spacing w:line="240" w:lineRule="auto"/>
            </w:pPr>
            <w:r/>
            <w:r>
              <w:rPr>
                <w:rFonts w:ascii="Times New Roman" w:hAnsi="Times New Roman"/>
                <w:sz w:val="18"/>
              </w:rPr>
              <w:t>0.86–1.11</w:t>
            </w:r>
          </w:p>
        </w:tc>
        <w:tc>
          <w:tcPr>
            <w:tcW w:type="dxa" w:w="2340"/>
          </w:tcPr>
          <w:p>
            <w:pPr>
              <w:spacing w:line="240" w:lineRule="auto"/>
            </w:pPr>
            <w:r/>
            <w:r>
              <w:rPr>
                <w:rFonts w:ascii="Times New Roman" w:hAnsi="Times New Roman"/>
                <w:sz w:val="18"/>
              </w:rPr>
              <w:t>0.702</w:t>
            </w:r>
          </w:p>
        </w:tc>
      </w:tr>
      <w:tr>
        <w:tc>
          <w:tcPr>
            <w:tcW w:type="dxa" w:w="2340"/>
          </w:tcPr>
          <w:p>
            <w:pPr>
              <w:spacing w:line="240" w:lineRule="auto"/>
            </w:pPr>
            <w:r/>
            <w:r>
              <w:rPr>
                <w:rFonts w:ascii="Times New Roman" w:hAnsi="Times New Roman"/>
                <w:sz w:val="18"/>
              </w:rPr>
              <w:t>Female sex</w:t>
            </w:r>
          </w:p>
        </w:tc>
        <w:tc>
          <w:tcPr>
            <w:tcW w:type="dxa" w:w="2340"/>
          </w:tcPr>
          <w:p>
            <w:pPr>
              <w:spacing w:line="240" w:lineRule="auto"/>
            </w:pPr>
            <w:r/>
            <w:r>
              <w:rPr>
                <w:rFonts w:ascii="Times New Roman" w:hAnsi="Times New Roman"/>
                <w:sz w:val="18"/>
              </w:rPr>
              <w:t>0.70</w:t>
            </w:r>
          </w:p>
        </w:tc>
        <w:tc>
          <w:tcPr>
            <w:tcW w:type="dxa" w:w="2340"/>
          </w:tcPr>
          <w:p>
            <w:pPr>
              <w:spacing w:line="240" w:lineRule="auto"/>
            </w:pPr>
            <w:r/>
            <w:r>
              <w:rPr>
                <w:rFonts w:ascii="Times New Roman" w:hAnsi="Times New Roman"/>
                <w:sz w:val="18"/>
              </w:rPr>
              <w:t>0.46–1.08</w:t>
            </w:r>
          </w:p>
        </w:tc>
        <w:tc>
          <w:tcPr>
            <w:tcW w:type="dxa" w:w="2340"/>
          </w:tcPr>
          <w:p>
            <w:pPr>
              <w:spacing w:line="240" w:lineRule="auto"/>
            </w:pPr>
            <w:r/>
            <w:r>
              <w:rPr>
                <w:rFonts w:ascii="Times New Roman" w:hAnsi="Times New Roman"/>
                <w:sz w:val="18"/>
              </w:rPr>
              <w:t>0.106</w:t>
            </w:r>
          </w:p>
        </w:tc>
      </w:tr>
      <w:tr>
        <w:tc>
          <w:tcPr>
            <w:tcW w:type="dxa" w:w="2340"/>
          </w:tcPr>
          <w:p>
            <w:pPr>
              <w:spacing w:line="240" w:lineRule="auto"/>
            </w:pPr>
            <w:r/>
            <w:r>
              <w:rPr>
                <w:rFonts w:ascii="Times New Roman" w:hAnsi="Times New Roman"/>
                <w:sz w:val="18"/>
              </w:rPr>
              <w:t>ln(1 + tumor size, cm)</w:t>
            </w:r>
          </w:p>
        </w:tc>
        <w:tc>
          <w:tcPr>
            <w:tcW w:type="dxa" w:w="2340"/>
          </w:tcPr>
          <w:p>
            <w:pPr>
              <w:spacing w:line="240" w:lineRule="auto"/>
            </w:pPr>
            <w:r/>
            <w:r>
              <w:rPr>
                <w:rFonts w:ascii="Times New Roman" w:hAnsi="Times New Roman"/>
                <w:sz w:val="18"/>
              </w:rPr>
              <w:t>1.93</w:t>
            </w:r>
          </w:p>
        </w:tc>
        <w:tc>
          <w:tcPr>
            <w:tcW w:type="dxa" w:w="2340"/>
          </w:tcPr>
          <w:p>
            <w:pPr>
              <w:spacing w:line="240" w:lineRule="auto"/>
            </w:pPr>
            <w:r/>
            <w:r>
              <w:rPr>
                <w:rFonts w:ascii="Times New Roman" w:hAnsi="Times New Roman"/>
                <w:sz w:val="18"/>
              </w:rPr>
              <w:t>1.27–2.92</w:t>
            </w:r>
          </w:p>
        </w:tc>
        <w:tc>
          <w:tcPr>
            <w:tcW w:type="dxa" w:w="2340"/>
          </w:tcPr>
          <w:p>
            <w:pPr>
              <w:spacing w:line="240" w:lineRule="auto"/>
            </w:pPr>
            <w:r/>
            <w:r>
              <w:rPr>
                <w:rFonts w:ascii="Times New Roman" w:hAnsi="Times New Roman"/>
                <w:sz w:val="18"/>
              </w:rPr>
              <w:t>0.002</w:t>
            </w:r>
          </w:p>
        </w:tc>
      </w:tr>
      <w:tr>
        <w:tc>
          <w:tcPr>
            <w:tcW w:type="dxa" w:w="2340"/>
          </w:tcPr>
          <w:p>
            <w:pPr>
              <w:spacing w:line="240" w:lineRule="auto"/>
            </w:pPr>
            <w:r/>
            <w:r>
              <w:rPr>
                <w:rFonts w:ascii="Times New Roman" w:hAnsi="Times New Roman"/>
                <w:sz w:val="18"/>
              </w:rPr>
              <w:t>AJCC N1a vs N0</w:t>
            </w:r>
          </w:p>
        </w:tc>
        <w:tc>
          <w:tcPr>
            <w:tcW w:type="dxa" w:w="2340"/>
          </w:tcPr>
          <w:p>
            <w:pPr>
              <w:spacing w:line="240" w:lineRule="auto"/>
            </w:pPr>
            <w:r/>
            <w:r>
              <w:rPr>
                <w:rFonts w:ascii="Times New Roman" w:hAnsi="Times New Roman"/>
                <w:sz w:val="18"/>
              </w:rPr>
              <w:t>0.96</w:t>
            </w:r>
          </w:p>
        </w:tc>
        <w:tc>
          <w:tcPr>
            <w:tcW w:type="dxa" w:w="2340"/>
          </w:tcPr>
          <w:p>
            <w:pPr>
              <w:spacing w:line="240" w:lineRule="auto"/>
            </w:pPr>
            <w:r/>
            <w:r>
              <w:rPr>
                <w:rFonts w:ascii="Times New Roman" w:hAnsi="Times New Roman"/>
                <w:sz w:val="18"/>
              </w:rPr>
              <w:t>0.61–1.53</w:t>
            </w:r>
          </w:p>
        </w:tc>
        <w:tc>
          <w:tcPr>
            <w:tcW w:type="dxa" w:w="2340"/>
          </w:tcPr>
          <w:p>
            <w:pPr>
              <w:spacing w:line="240" w:lineRule="auto"/>
            </w:pPr>
            <w:r/>
            <w:r>
              <w:rPr>
                <w:rFonts w:ascii="Times New Roman" w:hAnsi="Times New Roman"/>
                <w:sz w:val="18"/>
              </w:rPr>
              <w:t>0.877</w:t>
            </w:r>
          </w:p>
        </w:tc>
      </w:tr>
      <w:tr>
        <w:tc>
          <w:tcPr>
            <w:tcW w:type="dxa" w:w="2340"/>
          </w:tcPr>
          <w:p>
            <w:pPr>
              <w:spacing w:line="240" w:lineRule="auto"/>
            </w:pPr>
            <w:r/>
            <w:r>
              <w:rPr>
                <w:rFonts w:ascii="Times New Roman" w:hAnsi="Times New Roman"/>
                <w:sz w:val="18"/>
              </w:rPr>
              <w:t>AJCC N1b vs N0</w:t>
            </w:r>
          </w:p>
        </w:tc>
        <w:tc>
          <w:tcPr>
            <w:tcW w:type="dxa" w:w="2340"/>
          </w:tcPr>
          <w:p>
            <w:pPr>
              <w:spacing w:line="240" w:lineRule="auto"/>
            </w:pPr>
            <w:r/>
            <w:r>
              <w:rPr>
                <w:rFonts w:ascii="Times New Roman" w:hAnsi="Times New Roman"/>
                <w:sz w:val="18"/>
              </w:rPr>
              <w:t>2.24</w:t>
            </w:r>
          </w:p>
        </w:tc>
        <w:tc>
          <w:tcPr>
            <w:tcW w:type="dxa" w:w="2340"/>
          </w:tcPr>
          <w:p>
            <w:pPr>
              <w:spacing w:line="240" w:lineRule="auto"/>
            </w:pPr>
            <w:r/>
            <w:r>
              <w:rPr>
                <w:rFonts w:ascii="Times New Roman" w:hAnsi="Times New Roman"/>
                <w:sz w:val="18"/>
              </w:rPr>
              <w:t>0.83–6.03</w:t>
            </w:r>
          </w:p>
        </w:tc>
        <w:tc>
          <w:tcPr>
            <w:tcW w:type="dxa" w:w="2340"/>
          </w:tcPr>
          <w:p>
            <w:pPr>
              <w:spacing w:line="240" w:lineRule="auto"/>
            </w:pPr>
            <w:r/>
            <w:r>
              <w:rPr>
                <w:rFonts w:ascii="Times New Roman" w:hAnsi="Times New Roman"/>
                <w:sz w:val="18"/>
              </w:rPr>
              <w:t>0.110</w:t>
            </w:r>
          </w:p>
        </w:tc>
      </w:tr>
      <w:tr>
        <w:tc>
          <w:tcPr>
            <w:tcW w:type="dxa" w:w="2340"/>
          </w:tcPr>
          <w:p>
            <w:pPr>
              <w:spacing w:line="240" w:lineRule="auto"/>
            </w:pPr>
            <w:r/>
            <w:r>
              <w:rPr>
                <w:rFonts w:ascii="Times New Roman" w:hAnsi="Times New Roman"/>
                <w:sz w:val="18"/>
              </w:rPr>
              <w:t>AJCC Nx vs N0</w:t>
            </w:r>
          </w:p>
        </w:tc>
        <w:tc>
          <w:tcPr>
            <w:tcW w:type="dxa" w:w="2340"/>
          </w:tcPr>
          <w:p>
            <w:pPr>
              <w:spacing w:line="240" w:lineRule="auto"/>
            </w:pPr>
            <w:r/>
            <w:r>
              <w:rPr>
                <w:rFonts w:ascii="Times New Roman" w:hAnsi="Times New Roman"/>
                <w:sz w:val="18"/>
              </w:rPr>
              <w:t>quasi-separation</w:t>
            </w:r>
          </w:p>
        </w:tc>
        <w:tc>
          <w:tcPr>
            <w:tcW w:type="dxa" w:w="2340"/>
          </w:tcPr>
          <w:p>
            <w:pPr>
              <w:spacing w:line="240" w:lineRule="auto"/>
            </w:pPr>
            <w:r/>
            <w:r>
              <w:rPr>
                <w:rFonts w:ascii="Times New Roman" w:hAnsi="Times New Roman"/>
                <w:sz w:val="18"/>
              </w:rPr>
              <w:t>—</w:t>
            </w:r>
          </w:p>
        </w:tc>
        <w:tc>
          <w:tcPr>
            <w:tcW w:type="dxa" w:w="2340"/>
          </w:tcPr>
          <w:p>
            <w:pPr>
              <w:spacing w:line="240" w:lineRule="auto"/>
            </w:pPr>
            <w:r/>
            <w:r>
              <w:rPr>
                <w:rFonts w:ascii="Times New Roman" w:hAnsi="Times New Roman"/>
                <w:sz w:val="18"/>
              </w:rPr>
              <w:t>—</w:t>
            </w:r>
          </w:p>
        </w:tc>
      </w:tr>
      <w:tr>
        <w:tc>
          <w:tcPr>
            <w:tcW w:type="dxa" w:w="2340"/>
          </w:tcPr>
          <w:p>
            <w:pPr>
              <w:spacing w:line="240" w:lineRule="auto"/>
            </w:pPr>
            <w:r/>
            <w:r>
              <w:rPr>
                <w:rFonts w:ascii="Times New Roman" w:hAnsi="Times New Roman"/>
                <w:sz w:val="18"/>
              </w:rPr>
              <w:t>FTC vs PTC</w:t>
            </w:r>
          </w:p>
        </w:tc>
        <w:tc>
          <w:tcPr>
            <w:tcW w:type="dxa" w:w="2340"/>
          </w:tcPr>
          <w:p>
            <w:pPr>
              <w:spacing w:line="240" w:lineRule="auto"/>
            </w:pPr>
            <w:r/>
            <w:r>
              <w:rPr>
                <w:rFonts w:ascii="Times New Roman" w:hAnsi="Times New Roman"/>
                <w:sz w:val="18"/>
              </w:rPr>
              <w:t>0.31</w:t>
            </w:r>
          </w:p>
        </w:tc>
        <w:tc>
          <w:tcPr>
            <w:tcW w:type="dxa" w:w="2340"/>
          </w:tcPr>
          <w:p>
            <w:pPr>
              <w:spacing w:line="240" w:lineRule="auto"/>
            </w:pPr>
            <w:r/>
            <w:r>
              <w:rPr>
                <w:rFonts w:ascii="Times New Roman" w:hAnsi="Times New Roman"/>
                <w:sz w:val="18"/>
              </w:rPr>
              <w:t>0.14–0.71</w:t>
            </w:r>
          </w:p>
        </w:tc>
        <w:tc>
          <w:tcPr>
            <w:tcW w:type="dxa" w:w="2340"/>
          </w:tcPr>
          <w:p>
            <w:pPr>
              <w:spacing w:line="240" w:lineRule="auto"/>
            </w:pPr>
            <w:r/>
            <w:r>
              <w:rPr>
                <w:rFonts w:ascii="Times New Roman" w:hAnsi="Times New Roman"/>
                <w:sz w:val="18"/>
              </w:rPr>
              <w:t>0.006</w:t>
            </w:r>
          </w:p>
        </w:tc>
      </w:tr>
      <w:tr>
        <w:tc>
          <w:tcPr>
            <w:tcW w:type="dxa" w:w="2340"/>
          </w:tcPr>
          <w:p>
            <w:pPr>
              <w:spacing w:line="240" w:lineRule="auto"/>
            </w:pPr>
            <w:r/>
            <w:r>
              <w:rPr>
                <w:rFonts w:ascii="Times New Roman" w:hAnsi="Times New Roman"/>
                <w:sz w:val="18"/>
              </w:rPr>
              <w:t>Poorly-differentiated DTC vs PTC</w:t>
            </w:r>
          </w:p>
        </w:tc>
        <w:tc>
          <w:tcPr>
            <w:tcW w:type="dxa" w:w="2340"/>
          </w:tcPr>
          <w:p>
            <w:pPr>
              <w:spacing w:line="240" w:lineRule="auto"/>
            </w:pPr>
            <w:r/>
            <w:r>
              <w:rPr>
                <w:rFonts w:ascii="Times New Roman" w:hAnsi="Times New Roman"/>
                <w:sz w:val="18"/>
              </w:rPr>
              <w:t>1.37</w:t>
            </w:r>
          </w:p>
        </w:tc>
        <w:tc>
          <w:tcPr>
            <w:tcW w:type="dxa" w:w="2340"/>
          </w:tcPr>
          <w:p>
            <w:pPr>
              <w:spacing w:line="240" w:lineRule="auto"/>
            </w:pPr>
            <w:r/>
            <w:r>
              <w:rPr>
                <w:rFonts w:ascii="Times New Roman" w:hAnsi="Times New Roman"/>
                <w:sz w:val="18"/>
              </w:rPr>
              <w:t>0.44–4.34</w:t>
            </w:r>
          </w:p>
        </w:tc>
        <w:tc>
          <w:tcPr>
            <w:tcW w:type="dxa" w:w="2340"/>
          </w:tcPr>
          <w:p>
            <w:pPr>
              <w:spacing w:line="240" w:lineRule="auto"/>
            </w:pPr>
            <w:r/>
            <w:r>
              <w:rPr>
                <w:rFonts w:ascii="Times New Roman" w:hAnsi="Times New Roman"/>
                <w:sz w:val="18"/>
              </w:rPr>
              <w:t>0.587</w:t>
            </w:r>
          </w:p>
        </w:tc>
      </w:tr>
      <w:tr>
        <w:tc>
          <w:tcPr>
            <w:tcW w:type="dxa" w:w="2340"/>
          </w:tcPr>
          <w:p>
            <w:pPr>
              <w:spacing w:line="240" w:lineRule="auto"/>
            </w:pPr>
            <w:r/>
            <w:r>
              <w:rPr>
                <w:rFonts w:ascii="Times New Roman" w:hAnsi="Times New Roman"/>
                <w:sz w:val="18"/>
              </w:rPr>
              <w:t>High-grade DTC vs PTC</w:t>
            </w:r>
          </w:p>
        </w:tc>
        <w:tc>
          <w:tcPr>
            <w:tcW w:type="dxa" w:w="2340"/>
          </w:tcPr>
          <w:p>
            <w:pPr>
              <w:spacing w:line="240" w:lineRule="auto"/>
            </w:pPr>
            <w:r/>
            <w:r>
              <w:rPr>
                <w:rFonts w:ascii="Times New Roman" w:hAnsi="Times New Roman"/>
                <w:sz w:val="18"/>
              </w:rPr>
              <w:t>quasi-separation</w:t>
            </w:r>
          </w:p>
        </w:tc>
        <w:tc>
          <w:tcPr>
            <w:tcW w:type="dxa" w:w="2340"/>
          </w:tcPr>
          <w:p>
            <w:pPr>
              <w:spacing w:line="240" w:lineRule="auto"/>
            </w:pPr>
            <w:r/>
            <w:r>
              <w:rPr>
                <w:rFonts w:ascii="Times New Roman" w:hAnsi="Times New Roman"/>
                <w:sz w:val="18"/>
              </w:rPr>
              <w:t>—</w:t>
            </w:r>
          </w:p>
        </w:tc>
        <w:tc>
          <w:tcPr>
            <w:tcW w:type="dxa" w:w="2340"/>
          </w:tcPr>
          <w:p>
            <w:pPr>
              <w:spacing w:line="240" w:lineRule="auto"/>
            </w:pPr>
            <w:r/>
            <w:r>
              <w:rPr>
                <w:rFonts w:ascii="Times New Roman" w:hAnsi="Times New Roman"/>
                <w:sz w:val="18"/>
              </w:rPr>
              <w:t>—</w:t>
            </w:r>
          </w:p>
        </w:tc>
      </w:tr>
      <w:tr>
        <w:tc>
          <w:tcPr>
            <w:tcW w:type="dxa" w:w="2340"/>
          </w:tcPr>
          <w:p>
            <w:pPr>
              <w:spacing w:line="240" w:lineRule="auto"/>
            </w:pPr>
            <w:r/>
            <w:r>
              <w:rPr>
                <w:rFonts w:ascii="Times New Roman" w:hAnsi="Times New Roman"/>
                <w:sz w:val="18"/>
              </w:rPr>
              <w:t>Lymphatic: present vs missing</w:t>
            </w:r>
          </w:p>
        </w:tc>
        <w:tc>
          <w:tcPr>
            <w:tcW w:type="dxa" w:w="2340"/>
          </w:tcPr>
          <w:p>
            <w:pPr>
              <w:spacing w:line="240" w:lineRule="auto"/>
            </w:pPr>
            <w:r/>
            <w:r>
              <w:rPr>
                <w:rFonts w:ascii="Times New Roman" w:hAnsi="Times New Roman"/>
                <w:sz w:val="18"/>
              </w:rPr>
              <w:t>0.87</w:t>
            </w:r>
          </w:p>
        </w:tc>
        <w:tc>
          <w:tcPr>
            <w:tcW w:type="dxa" w:w="2340"/>
          </w:tcPr>
          <w:p>
            <w:pPr>
              <w:spacing w:line="240" w:lineRule="auto"/>
            </w:pPr>
            <w:r/>
            <w:r>
              <w:rPr>
                <w:rFonts w:ascii="Times New Roman" w:hAnsi="Times New Roman"/>
                <w:sz w:val="18"/>
              </w:rPr>
              <w:t>0.47–1.61</w:t>
            </w:r>
          </w:p>
        </w:tc>
        <w:tc>
          <w:tcPr>
            <w:tcW w:type="dxa" w:w="2340"/>
          </w:tcPr>
          <w:p>
            <w:pPr>
              <w:spacing w:line="240" w:lineRule="auto"/>
            </w:pPr>
            <w:r/>
            <w:r>
              <w:rPr>
                <w:rFonts w:ascii="Times New Roman" w:hAnsi="Times New Roman"/>
                <w:sz w:val="18"/>
              </w:rPr>
              <w:t>0.657</w:t>
            </w:r>
          </w:p>
        </w:tc>
      </w:tr>
      <w:tr>
        <w:tc>
          <w:tcPr>
            <w:tcW w:type="dxa" w:w="2340"/>
          </w:tcPr>
          <w:p>
            <w:pPr>
              <w:spacing w:line="240" w:lineRule="auto"/>
            </w:pPr>
            <w:r/>
            <w:r>
              <w:rPr>
                <w:rFonts w:ascii="Times New Roman" w:hAnsi="Times New Roman"/>
                <w:sz w:val="18"/>
              </w:rPr>
              <w:t>Lymphatic: extensive vs missing</w:t>
            </w:r>
          </w:p>
        </w:tc>
        <w:tc>
          <w:tcPr>
            <w:tcW w:type="dxa" w:w="2340"/>
          </w:tcPr>
          <w:p>
            <w:pPr>
              <w:spacing w:line="240" w:lineRule="auto"/>
            </w:pPr>
            <w:r/>
            <w:r>
              <w:rPr>
                <w:rFonts w:ascii="Times New Roman" w:hAnsi="Times New Roman"/>
                <w:sz w:val="18"/>
              </w:rPr>
              <w:t>2.45</w:t>
            </w:r>
          </w:p>
        </w:tc>
        <w:tc>
          <w:tcPr>
            <w:tcW w:type="dxa" w:w="2340"/>
          </w:tcPr>
          <w:p>
            <w:pPr>
              <w:spacing w:line="240" w:lineRule="auto"/>
            </w:pPr>
            <w:r/>
            <w:r>
              <w:rPr>
                <w:rFonts w:ascii="Times New Roman" w:hAnsi="Times New Roman"/>
                <w:sz w:val="18"/>
              </w:rPr>
              <w:t>0.92–6.52</w:t>
            </w:r>
          </w:p>
        </w:tc>
        <w:tc>
          <w:tcPr>
            <w:tcW w:type="dxa" w:w="2340"/>
          </w:tcPr>
          <w:p>
            <w:pPr>
              <w:spacing w:line="240" w:lineRule="auto"/>
            </w:pPr>
            <w:r/>
            <w:r>
              <w:rPr>
                <w:rFonts w:ascii="Times New Roman" w:hAnsi="Times New Roman"/>
                <w:sz w:val="18"/>
              </w:rPr>
              <w:t>0.073</w:t>
            </w:r>
          </w:p>
        </w:tc>
      </w:tr>
      <w:tr>
        <w:tc>
          <w:tcPr>
            <w:tcW w:type="dxa" w:w="2340"/>
          </w:tcPr>
          <w:p>
            <w:pPr>
              <w:spacing w:line="240" w:lineRule="auto"/>
            </w:pPr>
            <w:r/>
            <w:r>
              <w:rPr>
                <w:rFonts w:ascii="Times New Roman" w:hAnsi="Times New Roman"/>
                <w:sz w:val="18"/>
              </w:rPr>
              <w:t>Lymphatic: focal vs missing</w:t>
            </w:r>
          </w:p>
        </w:tc>
        <w:tc>
          <w:tcPr>
            <w:tcW w:type="dxa" w:w="2340"/>
          </w:tcPr>
          <w:p>
            <w:pPr>
              <w:spacing w:line="240" w:lineRule="auto"/>
            </w:pPr>
            <w:r/>
            <w:r>
              <w:rPr>
                <w:rFonts w:ascii="Times New Roman" w:hAnsi="Times New Roman"/>
                <w:sz w:val="18"/>
              </w:rPr>
              <w:t>quasi-separation</w:t>
            </w:r>
          </w:p>
        </w:tc>
        <w:tc>
          <w:tcPr>
            <w:tcW w:type="dxa" w:w="2340"/>
          </w:tcPr>
          <w:p>
            <w:pPr>
              <w:spacing w:line="240" w:lineRule="auto"/>
            </w:pPr>
            <w:r/>
            <w:r>
              <w:rPr>
                <w:rFonts w:ascii="Times New Roman" w:hAnsi="Times New Roman"/>
                <w:sz w:val="18"/>
              </w:rPr>
              <w:t>—</w:t>
            </w:r>
          </w:p>
        </w:tc>
        <w:tc>
          <w:tcPr>
            <w:tcW w:type="dxa" w:w="2340"/>
          </w:tcPr>
          <w:p>
            <w:pPr>
              <w:spacing w:line="240" w:lineRule="auto"/>
            </w:pPr>
            <w:r/>
            <w:r>
              <w:rPr>
                <w:rFonts w:ascii="Times New Roman" w:hAnsi="Times New Roman"/>
                <w:sz w:val="18"/>
              </w:rPr>
              <w:t>—</w:t>
            </w:r>
          </w:p>
        </w:tc>
      </w:tr>
      <w:tr>
        <w:tc>
          <w:tcPr>
            <w:tcW w:type="dxa" w:w="2340"/>
          </w:tcPr>
          <w:p>
            <w:pPr>
              <w:spacing w:line="240" w:lineRule="auto"/>
            </w:pPr>
            <w:r/>
            <w:r>
              <w:rPr>
                <w:rFonts w:ascii="Times New Roman" w:hAnsi="Times New Roman"/>
                <w:sz w:val="18"/>
              </w:rPr>
              <w:t>Lymphatic: indeterminate vs missing</w:t>
            </w:r>
          </w:p>
        </w:tc>
        <w:tc>
          <w:tcPr>
            <w:tcW w:type="dxa" w:w="2340"/>
          </w:tcPr>
          <w:p>
            <w:pPr>
              <w:spacing w:line="240" w:lineRule="auto"/>
            </w:pPr>
            <w:r/>
            <w:r>
              <w:rPr>
                <w:rFonts w:ascii="Times New Roman" w:hAnsi="Times New Roman"/>
                <w:sz w:val="18"/>
              </w:rPr>
              <w:t>0.93</w:t>
            </w:r>
          </w:p>
        </w:tc>
        <w:tc>
          <w:tcPr>
            <w:tcW w:type="dxa" w:w="2340"/>
          </w:tcPr>
          <w:p>
            <w:pPr>
              <w:spacing w:line="240" w:lineRule="auto"/>
            </w:pPr>
            <w:r/>
            <w:r>
              <w:rPr>
                <w:rFonts w:ascii="Times New Roman" w:hAnsi="Times New Roman"/>
                <w:sz w:val="18"/>
              </w:rPr>
              <w:t>0.34–2.56</w:t>
            </w:r>
          </w:p>
        </w:tc>
        <w:tc>
          <w:tcPr>
            <w:tcW w:type="dxa" w:w="2340"/>
          </w:tcPr>
          <w:p>
            <w:pPr>
              <w:spacing w:line="240" w:lineRule="auto"/>
            </w:pPr>
            <w:r/>
            <w:r>
              <w:rPr>
                <w:rFonts w:ascii="Times New Roman" w:hAnsi="Times New Roman"/>
                <w:sz w:val="18"/>
              </w:rPr>
              <w:t>0.892</w:t>
            </w:r>
          </w:p>
        </w:tc>
      </w:tr>
      <w:tr>
        <w:tc>
          <w:tcPr>
            <w:tcW w:type="dxa" w:w="2340"/>
          </w:tcPr>
          <w:p>
            <w:pPr>
              <w:spacing w:line="240" w:lineRule="auto"/>
            </w:pPr>
            <w:r/>
            <w:r>
              <w:rPr>
                <w:rFonts w:ascii="Times New Roman" w:hAnsi="Times New Roman"/>
                <w:sz w:val="18"/>
              </w:rPr>
              <w:t>Vascular: present-ungraded vs missing</w:t>
            </w:r>
          </w:p>
        </w:tc>
        <w:tc>
          <w:tcPr>
            <w:tcW w:type="dxa" w:w="2340"/>
          </w:tcPr>
          <w:p>
            <w:pPr>
              <w:spacing w:line="240" w:lineRule="auto"/>
            </w:pPr>
            <w:r/>
            <w:r>
              <w:rPr>
                <w:rFonts w:ascii="Times New Roman" w:hAnsi="Times New Roman"/>
                <w:sz w:val="18"/>
              </w:rPr>
              <w:t>1.66</w:t>
            </w:r>
          </w:p>
        </w:tc>
        <w:tc>
          <w:tcPr>
            <w:tcW w:type="dxa" w:w="2340"/>
          </w:tcPr>
          <w:p>
            <w:pPr>
              <w:spacing w:line="240" w:lineRule="auto"/>
            </w:pPr>
            <w:r/>
            <w:r>
              <w:rPr>
                <w:rFonts w:ascii="Times New Roman" w:hAnsi="Times New Roman"/>
                <w:sz w:val="18"/>
              </w:rPr>
              <w:t>0.88–3.16</w:t>
            </w:r>
          </w:p>
        </w:tc>
        <w:tc>
          <w:tcPr>
            <w:tcW w:type="dxa" w:w="2340"/>
          </w:tcPr>
          <w:p>
            <w:pPr>
              <w:spacing w:line="240" w:lineRule="auto"/>
            </w:pPr>
            <w:r/>
            <w:r>
              <w:rPr>
                <w:rFonts w:ascii="Times New Roman" w:hAnsi="Times New Roman"/>
                <w:sz w:val="18"/>
              </w:rPr>
              <w:t>0.120</w:t>
            </w:r>
          </w:p>
        </w:tc>
      </w:tr>
      <w:tr>
        <w:tc>
          <w:tcPr>
            <w:tcW w:type="dxa" w:w="2340"/>
          </w:tcPr>
          <w:p>
            <w:pPr>
              <w:spacing w:line="240" w:lineRule="auto"/>
            </w:pPr>
            <w:r/>
            <w:r>
              <w:rPr>
                <w:rFonts w:ascii="Times New Roman" w:hAnsi="Times New Roman"/>
                <w:sz w:val="18"/>
              </w:rPr>
              <w:t>Vascular: extensive vs missing</w:t>
            </w:r>
          </w:p>
        </w:tc>
        <w:tc>
          <w:tcPr>
            <w:tcW w:type="dxa" w:w="2340"/>
          </w:tcPr>
          <w:p>
            <w:pPr>
              <w:spacing w:line="240" w:lineRule="auto"/>
            </w:pPr>
            <w:r/>
            <w:r>
              <w:rPr>
                <w:rFonts w:ascii="Times New Roman" w:hAnsi="Times New Roman"/>
                <w:sz w:val="18"/>
              </w:rPr>
              <w:t>1.98</w:t>
            </w:r>
          </w:p>
        </w:tc>
        <w:tc>
          <w:tcPr>
            <w:tcW w:type="dxa" w:w="2340"/>
          </w:tcPr>
          <w:p>
            <w:pPr>
              <w:spacing w:line="240" w:lineRule="auto"/>
            </w:pPr>
            <w:r/>
            <w:r>
              <w:rPr>
                <w:rFonts w:ascii="Times New Roman" w:hAnsi="Times New Roman"/>
                <w:sz w:val="18"/>
              </w:rPr>
              <w:t>0.80–4.93</w:t>
            </w:r>
          </w:p>
        </w:tc>
        <w:tc>
          <w:tcPr>
            <w:tcW w:type="dxa" w:w="2340"/>
          </w:tcPr>
          <w:p>
            <w:pPr>
              <w:spacing w:line="240" w:lineRule="auto"/>
            </w:pPr>
            <w:r/>
            <w:r>
              <w:rPr>
                <w:rFonts w:ascii="Times New Roman" w:hAnsi="Times New Roman"/>
                <w:sz w:val="18"/>
              </w:rPr>
              <w:t>0.141</w:t>
            </w:r>
          </w:p>
        </w:tc>
      </w:tr>
      <w:tr>
        <w:tc>
          <w:tcPr>
            <w:tcW w:type="dxa" w:w="2340"/>
          </w:tcPr>
          <w:p>
            <w:pPr>
              <w:spacing w:line="240" w:lineRule="auto"/>
            </w:pPr>
            <w:r/>
            <w:r>
              <w:rPr>
                <w:rFonts w:ascii="Times New Roman" w:hAnsi="Times New Roman"/>
                <w:sz w:val="18"/>
              </w:rPr>
              <w:t>Vascular: focal vs missing</w:t>
            </w:r>
          </w:p>
        </w:tc>
        <w:tc>
          <w:tcPr>
            <w:tcW w:type="dxa" w:w="2340"/>
          </w:tcPr>
          <w:p>
            <w:pPr>
              <w:spacing w:line="240" w:lineRule="auto"/>
            </w:pPr>
            <w:r/>
            <w:r>
              <w:rPr>
                <w:rFonts w:ascii="Times New Roman" w:hAnsi="Times New Roman"/>
                <w:sz w:val="18"/>
              </w:rPr>
              <w:t>2.25</w:t>
            </w:r>
          </w:p>
        </w:tc>
        <w:tc>
          <w:tcPr>
            <w:tcW w:type="dxa" w:w="2340"/>
          </w:tcPr>
          <w:p>
            <w:pPr>
              <w:spacing w:line="240" w:lineRule="auto"/>
            </w:pPr>
            <w:r/>
            <w:r>
              <w:rPr>
                <w:rFonts w:ascii="Times New Roman" w:hAnsi="Times New Roman"/>
                <w:sz w:val="18"/>
              </w:rPr>
              <w:t>1.07–4.73</w:t>
            </w:r>
          </w:p>
        </w:tc>
        <w:tc>
          <w:tcPr>
            <w:tcW w:type="dxa" w:w="2340"/>
          </w:tcPr>
          <w:p>
            <w:pPr>
              <w:spacing w:line="240" w:lineRule="auto"/>
            </w:pPr>
            <w:r/>
            <w:r>
              <w:rPr>
                <w:rFonts w:ascii="Times New Roman" w:hAnsi="Times New Roman"/>
                <w:sz w:val="18"/>
              </w:rPr>
              <w:t>0.033</w:t>
            </w:r>
          </w:p>
        </w:tc>
      </w:tr>
      <w:tr>
        <w:tc>
          <w:tcPr>
            <w:tcW w:type="dxa" w:w="2340"/>
          </w:tcPr>
          <w:p>
            <w:pPr>
              <w:spacing w:line="240" w:lineRule="auto"/>
            </w:pPr>
            <w:r/>
            <w:r>
              <w:rPr>
                <w:rFonts w:ascii="Times New Roman" w:hAnsi="Times New Roman"/>
                <w:sz w:val="18"/>
              </w:rPr>
              <w:t>Vascular: indeterminate vs missing</w:t>
            </w:r>
          </w:p>
        </w:tc>
        <w:tc>
          <w:tcPr>
            <w:tcW w:type="dxa" w:w="2340"/>
          </w:tcPr>
          <w:p>
            <w:pPr>
              <w:spacing w:line="240" w:lineRule="auto"/>
            </w:pPr>
            <w:r/>
            <w:r>
              <w:rPr>
                <w:rFonts w:ascii="Times New Roman" w:hAnsi="Times New Roman"/>
                <w:sz w:val="18"/>
              </w:rPr>
              <w:t>0.74</w:t>
            </w:r>
          </w:p>
        </w:tc>
        <w:tc>
          <w:tcPr>
            <w:tcW w:type="dxa" w:w="2340"/>
          </w:tcPr>
          <w:p>
            <w:pPr>
              <w:spacing w:line="240" w:lineRule="auto"/>
            </w:pPr>
            <w:r/>
            <w:r>
              <w:rPr>
                <w:rFonts w:ascii="Times New Roman" w:hAnsi="Times New Roman"/>
                <w:sz w:val="18"/>
              </w:rPr>
              <w:t>0.09–5.78</w:t>
            </w:r>
          </w:p>
        </w:tc>
        <w:tc>
          <w:tcPr>
            <w:tcW w:type="dxa" w:w="2340"/>
          </w:tcPr>
          <w:p>
            <w:pPr>
              <w:spacing w:line="240" w:lineRule="auto"/>
            </w:pPr>
            <w:r/>
            <w:r>
              <w:rPr>
                <w:rFonts w:ascii="Times New Roman" w:hAnsi="Times New Roman"/>
                <w:sz w:val="18"/>
              </w:rPr>
              <w:t>0.770</w:t>
            </w:r>
          </w:p>
        </w:tc>
      </w:tr>
    </w:tbl>
    <w:p>
      <w:pPr>
        <w:spacing w:line="240" w:lineRule="auto"/>
      </w:pPr>
      <w:r>
        <w:rPr>
          <w:rFonts w:ascii="Times New Roman" w:hAnsi="Times New Roman"/>
          <w:b w:val="0"/>
          <w:i/>
          <w:sz w:val="24"/>
        </w:rPr>
        <w:t>Microscopic ETE is the reference category for the ETE term; reference categories for other covariates are noted in parentheses (Male sex, N0, PTC, missing for invasion). Quasi-separation denotes zero events in the stratum or extreme separation; the indicator was dropped from the model.</w:t>
      </w:r>
    </w:p>
    <w:p>
      <w:r>
        <w:br w:type="page"/>
      </w:r>
    </w:p>
    <w:p>
      <w:pPr>
        <w:spacing w:line="240" w:lineRule="auto"/>
      </w:pPr>
      <w:r>
        <w:rPr>
          <w:rFonts w:ascii="Times New Roman" w:hAnsi="Times New Roman"/>
          <w:b/>
          <w:sz w:val="24"/>
        </w:rPr>
        <w:t xml:space="preserve">Table 3. </w:t>
      </w:r>
      <w:r>
        <w:rPr>
          <w:rFonts w:ascii="Times New Roman" w:hAnsi="Times New Roman"/>
          <w:sz w:val="24"/>
        </w:rPr>
        <w:t>Sensitivity and exploratory model summary — gross-vs-microscopic and no/negative-vs-microscopic ETE odds ratios across model specifications.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pPr>
              <w:spacing w:line="240" w:lineRule="auto"/>
            </w:pPr>
            <w:r/>
            <w:r>
              <w:rPr>
                <w:rFonts w:ascii="Times New Roman" w:hAnsi="Times New Roman"/>
                <w:b/>
                <w:sz w:val="18"/>
              </w:rPr>
              <w:t>Model</w:t>
            </w:r>
          </w:p>
        </w:tc>
        <w:tc>
          <w:tcPr>
            <w:tcW w:type="dxa" w:w="1040"/>
          </w:tcPr>
          <w:p>
            <w:pPr>
              <w:spacing w:line="240" w:lineRule="auto"/>
            </w:pPr>
            <w:r/>
            <w:r>
              <w:rPr>
                <w:rFonts w:ascii="Times New Roman" w:hAnsi="Times New Roman"/>
                <w:b/>
                <w:sz w:val="18"/>
              </w:rPr>
              <w:t>Gross OR</w:t>
            </w:r>
          </w:p>
        </w:tc>
        <w:tc>
          <w:tcPr>
            <w:tcW w:type="dxa" w:w="1040"/>
          </w:tcPr>
          <w:p>
            <w:pPr>
              <w:spacing w:line="240" w:lineRule="auto"/>
            </w:pPr>
            <w:r/>
            <w:r>
              <w:rPr>
                <w:rFonts w:ascii="Times New Roman" w:hAnsi="Times New Roman"/>
                <w:b/>
                <w:sz w:val="18"/>
              </w:rPr>
              <w:t>95% CI</w:t>
            </w:r>
          </w:p>
        </w:tc>
        <w:tc>
          <w:tcPr>
            <w:tcW w:type="dxa" w:w="1040"/>
          </w:tcPr>
          <w:p>
            <w:pPr>
              <w:spacing w:line="240" w:lineRule="auto"/>
            </w:pPr>
            <w:r/>
            <w:r>
              <w:rPr>
                <w:rFonts w:ascii="Times New Roman" w:hAnsi="Times New Roman"/>
                <w:b/>
                <w:sz w:val="18"/>
              </w:rPr>
              <w:t>p</w:t>
            </w:r>
          </w:p>
        </w:tc>
        <w:tc>
          <w:tcPr>
            <w:tcW w:type="dxa" w:w="1040"/>
          </w:tcPr>
          <w:p>
            <w:pPr>
              <w:spacing w:line="240" w:lineRule="auto"/>
            </w:pPr>
            <w:r/>
            <w:r>
              <w:rPr>
                <w:rFonts w:ascii="Times New Roman" w:hAnsi="Times New Roman"/>
                <w:b/>
                <w:sz w:val="18"/>
              </w:rPr>
              <w:t>No/neg OR</w:t>
            </w:r>
          </w:p>
        </w:tc>
        <w:tc>
          <w:tcPr>
            <w:tcW w:type="dxa" w:w="1040"/>
          </w:tcPr>
          <w:p>
            <w:pPr>
              <w:spacing w:line="240" w:lineRule="auto"/>
            </w:pPr>
            <w:r/>
            <w:r>
              <w:rPr>
                <w:rFonts w:ascii="Times New Roman" w:hAnsi="Times New Roman"/>
                <w:b/>
                <w:sz w:val="18"/>
              </w:rPr>
              <w:t>95% CI</w:t>
            </w:r>
          </w:p>
        </w:tc>
        <w:tc>
          <w:tcPr>
            <w:tcW w:type="dxa" w:w="1040"/>
          </w:tcPr>
          <w:p>
            <w:pPr>
              <w:spacing w:line="240" w:lineRule="auto"/>
            </w:pPr>
            <w:r/>
            <w:r>
              <w:rPr>
                <w:rFonts w:ascii="Times New Roman" w:hAnsi="Times New Roman"/>
                <w:b/>
                <w:sz w:val="18"/>
              </w:rPr>
              <w:t>p</w:t>
            </w:r>
          </w:p>
        </w:tc>
        <w:tc>
          <w:tcPr>
            <w:tcW w:type="dxa" w:w="1040"/>
          </w:tcPr>
          <w:p>
            <w:pPr>
              <w:spacing w:line="240" w:lineRule="auto"/>
            </w:pPr>
            <w:r/>
            <w:r>
              <w:rPr>
                <w:rFonts w:ascii="Times New Roman" w:hAnsi="Times New Roman"/>
                <w:b/>
                <w:sz w:val="18"/>
              </w:rPr>
              <w:t>N</w:t>
            </w:r>
          </w:p>
        </w:tc>
        <w:tc>
          <w:tcPr>
            <w:tcW w:type="dxa" w:w="1040"/>
          </w:tcPr>
          <w:p>
            <w:pPr>
              <w:spacing w:line="240" w:lineRule="auto"/>
            </w:pPr>
            <w:r/>
            <w:r>
              <w:rPr>
                <w:rFonts w:ascii="Times New Roman" w:hAnsi="Times New Roman"/>
                <w:b/>
                <w:sz w:val="18"/>
              </w:rPr>
              <w:t>Events</w:t>
            </w:r>
          </w:p>
        </w:tc>
      </w:tr>
      <w:tr>
        <w:tc>
          <w:tcPr>
            <w:tcW w:type="dxa" w:w="1040"/>
          </w:tcPr>
          <w:p>
            <w:pPr>
              <w:spacing w:line="240" w:lineRule="auto"/>
            </w:pPr>
            <w:r/>
            <w:r>
              <w:rPr>
                <w:rFonts w:ascii="Times New Roman" w:hAnsi="Times New Roman"/>
                <w:sz w:val="18"/>
              </w:rPr>
              <w:t>Crude (ETE only)</w:t>
            </w:r>
          </w:p>
        </w:tc>
        <w:tc>
          <w:tcPr>
            <w:tcW w:type="dxa" w:w="1040"/>
          </w:tcPr>
          <w:p>
            <w:pPr>
              <w:spacing w:line="240" w:lineRule="auto"/>
            </w:pPr>
            <w:r/>
            <w:r>
              <w:rPr>
                <w:rFonts w:ascii="Times New Roman" w:hAnsi="Times New Roman"/>
                <w:sz w:val="18"/>
              </w:rPr>
              <w:t>2.68</w:t>
            </w:r>
          </w:p>
        </w:tc>
        <w:tc>
          <w:tcPr>
            <w:tcW w:type="dxa" w:w="1040"/>
          </w:tcPr>
          <w:p>
            <w:pPr>
              <w:spacing w:line="240" w:lineRule="auto"/>
            </w:pPr>
            <w:r/>
            <w:r>
              <w:rPr>
                <w:rFonts w:ascii="Times New Roman" w:hAnsi="Times New Roman"/>
                <w:sz w:val="18"/>
              </w:rPr>
              <w:t>1.80–3.99</w:t>
            </w:r>
          </w:p>
        </w:tc>
        <w:tc>
          <w:tcPr>
            <w:tcW w:type="dxa" w:w="1040"/>
          </w:tcPr>
          <w:p>
            <w:pPr>
              <w:spacing w:line="240" w:lineRule="auto"/>
            </w:pPr>
            <w:r/>
            <w:r>
              <w:rPr>
                <w:rFonts w:ascii="Times New Roman" w:hAnsi="Times New Roman"/>
                <w:sz w:val="18"/>
              </w:rPr>
              <w:t>&lt;0.001</w:t>
            </w:r>
          </w:p>
        </w:tc>
        <w:tc>
          <w:tcPr>
            <w:tcW w:type="dxa" w:w="1040"/>
          </w:tcPr>
          <w:p>
            <w:pPr>
              <w:spacing w:line="240" w:lineRule="auto"/>
            </w:pPr>
            <w:r/>
            <w:r>
              <w:rPr>
                <w:rFonts w:ascii="Times New Roman" w:hAnsi="Times New Roman"/>
                <w:sz w:val="18"/>
              </w:rPr>
              <w:t>2.37</w:t>
            </w:r>
          </w:p>
        </w:tc>
        <w:tc>
          <w:tcPr>
            <w:tcW w:type="dxa" w:w="1040"/>
          </w:tcPr>
          <w:p>
            <w:pPr>
              <w:spacing w:line="240" w:lineRule="auto"/>
            </w:pPr>
            <w:r/>
            <w:r>
              <w:rPr>
                <w:rFonts w:ascii="Times New Roman" w:hAnsi="Times New Roman"/>
                <w:sz w:val="18"/>
              </w:rPr>
              <w:t>0.72–7.84</w:t>
            </w:r>
          </w:p>
        </w:tc>
        <w:tc>
          <w:tcPr>
            <w:tcW w:type="dxa" w:w="1040"/>
          </w:tcPr>
          <w:p>
            <w:pPr>
              <w:spacing w:line="240" w:lineRule="auto"/>
            </w:pPr>
            <w:r/>
            <w:r>
              <w:rPr>
                <w:rFonts w:ascii="Times New Roman" w:hAnsi="Times New Roman"/>
                <w:sz w:val="18"/>
              </w:rPr>
              <w:t>0.156</w:t>
            </w:r>
          </w:p>
        </w:tc>
        <w:tc>
          <w:tcPr>
            <w:tcW w:type="dxa" w:w="1040"/>
          </w:tcPr>
          <w:p>
            <w:pPr>
              <w:spacing w:line="240" w:lineRule="auto"/>
            </w:pPr>
            <w:r/>
            <w:r>
              <w:rPr>
                <w:rFonts w:ascii="Times New Roman" w:hAnsi="Times New Roman"/>
                <w:sz w:val="18"/>
              </w:rPr>
              <w:t>3,578</w:t>
            </w:r>
          </w:p>
        </w:tc>
        <w:tc>
          <w:tcPr>
            <w:tcW w:type="dxa" w:w="1040"/>
          </w:tcPr>
          <w:p>
            <w:pPr>
              <w:spacing w:line="240" w:lineRule="auto"/>
            </w:pPr>
            <w:r/>
            <w:r>
              <w:rPr>
                <w:rFonts w:ascii="Times New Roman" w:hAnsi="Times New Roman"/>
                <w:sz w:val="18"/>
              </w:rPr>
              <w:t>105</w:t>
            </w:r>
          </w:p>
        </w:tc>
      </w:tr>
      <w:tr>
        <w:tc>
          <w:tcPr>
            <w:tcW w:type="dxa" w:w="1040"/>
          </w:tcPr>
          <w:p>
            <w:pPr>
              <w:spacing w:line="240" w:lineRule="auto"/>
            </w:pPr>
            <w:r/>
            <w:r>
              <w:rPr>
                <w:rFonts w:ascii="Times New Roman" w:hAnsi="Times New Roman"/>
                <w:sz w:val="18"/>
              </w:rPr>
              <w:t>Primary (no RAI)</w:t>
            </w:r>
          </w:p>
        </w:tc>
        <w:tc>
          <w:tcPr>
            <w:tcW w:type="dxa" w:w="1040"/>
          </w:tcPr>
          <w:p>
            <w:pPr>
              <w:spacing w:line="240" w:lineRule="auto"/>
            </w:pPr>
            <w:r/>
            <w:r>
              <w:rPr>
                <w:rFonts w:ascii="Times New Roman" w:hAnsi="Times New Roman"/>
                <w:sz w:val="18"/>
              </w:rPr>
              <w:t>1.77</w:t>
            </w:r>
          </w:p>
        </w:tc>
        <w:tc>
          <w:tcPr>
            <w:tcW w:type="dxa" w:w="1040"/>
          </w:tcPr>
          <w:p>
            <w:pPr>
              <w:spacing w:line="240" w:lineRule="auto"/>
            </w:pPr>
            <w:r/>
            <w:r>
              <w:rPr>
                <w:rFonts w:ascii="Times New Roman" w:hAnsi="Times New Roman"/>
                <w:sz w:val="18"/>
              </w:rPr>
              <w:t>1.15–2.71</w:t>
            </w:r>
          </w:p>
        </w:tc>
        <w:tc>
          <w:tcPr>
            <w:tcW w:type="dxa" w:w="1040"/>
          </w:tcPr>
          <w:p>
            <w:pPr>
              <w:spacing w:line="240" w:lineRule="auto"/>
            </w:pPr>
            <w:r/>
            <w:r>
              <w:rPr>
                <w:rFonts w:ascii="Times New Roman" w:hAnsi="Times New Roman"/>
                <w:sz w:val="18"/>
              </w:rPr>
              <w:t>0.009</w:t>
            </w:r>
          </w:p>
        </w:tc>
        <w:tc>
          <w:tcPr>
            <w:tcW w:type="dxa" w:w="1040"/>
          </w:tcPr>
          <w:p>
            <w:pPr>
              <w:spacing w:line="240" w:lineRule="auto"/>
            </w:pPr>
            <w:r/>
            <w:r>
              <w:rPr>
                <w:rFonts w:ascii="Times New Roman" w:hAnsi="Times New Roman"/>
                <w:sz w:val="18"/>
              </w:rPr>
              <w:t>2.72</w:t>
            </w:r>
          </w:p>
        </w:tc>
        <w:tc>
          <w:tcPr>
            <w:tcW w:type="dxa" w:w="1040"/>
          </w:tcPr>
          <w:p>
            <w:pPr>
              <w:spacing w:line="240" w:lineRule="auto"/>
            </w:pPr>
            <w:r/>
            <w:r>
              <w:rPr>
                <w:rFonts w:ascii="Times New Roman" w:hAnsi="Times New Roman"/>
                <w:sz w:val="18"/>
              </w:rPr>
              <w:t>0.80–9.30</w:t>
            </w:r>
          </w:p>
        </w:tc>
        <w:tc>
          <w:tcPr>
            <w:tcW w:type="dxa" w:w="1040"/>
          </w:tcPr>
          <w:p>
            <w:pPr>
              <w:spacing w:line="240" w:lineRule="auto"/>
            </w:pPr>
            <w:r/>
            <w:r>
              <w:rPr>
                <w:rFonts w:ascii="Times New Roman" w:hAnsi="Times New Roman"/>
                <w:sz w:val="18"/>
              </w:rPr>
              <w:t>0.111</w:t>
            </w:r>
          </w:p>
        </w:tc>
        <w:tc>
          <w:tcPr>
            <w:tcW w:type="dxa" w:w="1040"/>
          </w:tcPr>
          <w:p>
            <w:pPr>
              <w:spacing w:line="240" w:lineRule="auto"/>
            </w:pPr>
            <w:r/>
            <w:r>
              <w:rPr>
                <w:rFonts w:ascii="Times New Roman" w:hAnsi="Times New Roman"/>
                <w:sz w:val="18"/>
              </w:rPr>
              <w:t>3,572</w:t>
            </w:r>
          </w:p>
        </w:tc>
        <w:tc>
          <w:tcPr>
            <w:tcW w:type="dxa" w:w="1040"/>
          </w:tcPr>
          <w:p>
            <w:pPr>
              <w:spacing w:line="240" w:lineRule="auto"/>
            </w:pPr>
            <w:r/>
            <w:r>
              <w:rPr>
                <w:rFonts w:ascii="Times New Roman" w:hAnsi="Times New Roman"/>
                <w:sz w:val="18"/>
              </w:rPr>
              <w:t>105</w:t>
            </w:r>
          </w:p>
        </w:tc>
      </w:tr>
      <w:tr>
        <w:tc>
          <w:tcPr>
            <w:tcW w:type="dxa" w:w="1040"/>
          </w:tcPr>
          <w:p>
            <w:pPr>
              <w:spacing w:line="240" w:lineRule="auto"/>
            </w:pPr>
            <w:r/>
            <w:r>
              <w:rPr>
                <w:rFonts w:ascii="Times New Roman" w:hAnsi="Times New Roman"/>
                <w:sz w:val="18"/>
              </w:rPr>
              <w:t>+RAI (sensitivity)</w:t>
            </w:r>
          </w:p>
        </w:tc>
        <w:tc>
          <w:tcPr>
            <w:tcW w:type="dxa" w:w="1040"/>
          </w:tcPr>
          <w:p>
            <w:pPr>
              <w:spacing w:line="240" w:lineRule="auto"/>
            </w:pPr>
            <w:r/>
            <w:r>
              <w:rPr>
                <w:rFonts w:ascii="Times New Roman" w:hAnsi="Times New Roman"/>
                <w:sz w:val="18"/>
              </w:rPr>
              <w:t>1.40</w:t>
            </w:r>
          </w:p>
        </w:tc>
        <w:tc>
          <w:tcPr>
            <w:tcW w:type="dxa" w:w="1040"/>
          </w:tcPr>
          <w:p>
            <w:pPr>
              <w:spacing w:line="240" w:lineRule="auto"/>
            </w:pPr>
            <w:r/>
            <w:r>
              <w:rPr>
                <w:rFonts w:ascii="Times New Roman" w:hAnsi="Times New Roman"/>
                <w:sz w:val="18"/>
              </w:rPr>
              <w:t>0.90–2.16</w:t>
            </w:r>
          </w:p>
        </w:tc>
        <w:tc>
          <w:tcPr>
            <w:tcW w:type="dxa" w:w="1040"/>
          </w:tcPr>
          <w:p>
            <w:pPr>
              <w:spacing w:line="240" w:lineRule="auto"/>
            </w:pPr>
            <w:r/>
            <w:r>
              <w:rPr>
                <w:rFonts w:ascii="Times New Roman" w:hAnsi="Times New Roman"/>
                <w:sz w:val="18"/>
              </w:rPr>
              <w:t>0.136</w:t>
            </w:r>
          </w:p>
        </w:tc>
        <w:tc>
          <w:tcPr>
            <w:tcW w:type="dxa" w:w="1040"/>
          </w:tcPr>
          <w:p>
            <w:pPr>
              <w:spacing w:line="240" w:lineRule="auto"/>
            </w:pPr>
            <w:r/>
            <w:r>
              <w:rPr>
                <w:rFonts w:ascii="Times New Roman" w:hAnsi="Times New Roman"/>
                <w:sz w:val="18"/>
              </w:rPr>
              <w:t>2.28</w:t>
            </w:r>
          </w:p>
        </w:tc>
        <w:tc>
          <w:tcPr>
            <w:tcW w:type="dxa" w:w="1040"/>
          </w:tcPr>
          <w:p>
            <w:pPr>
              <w:spacing w:line="240" w:lineRule="auto"/>
            </w:pPr>
            <w:r/>
            <w:r>
              <w:rPr>
                <w:rFonts w:ascii="Times New Roman" w:hAnsi="Times New Roman"/>
                <w:sz w:val="18"/>
              </w:rPr>
              <w:t>0.66–7.91</w:t>
            </w:r>
          </w:p>
        </w:tc>
        <w:tc>
          <w:tcPr>
            <w:tcW w:type="dxa" w:w="1040"/>
          </w:tcPr>
          <w:p>
            <w:pPr>
              <w:spacing w:line="240" w:lineRule="auto"/>
            </w:pPr>
            <w:r/>
            <w:r>
              <w:rPr>
                <w:rFonts w:ascii="Times New Roman" w:hAnsi="Times New Roman"/>
                <w:sz w:val="18"/>
              </w:rPr>
              <w:t>0.193</w:t>
            </w:r>
          </w:p>
        </w:tc>
        <w:tc>
          <w:tcPr>
            <w:tcW w:type="dxa" w:w="1040"/>
          </w:tcPr>
          <w:p>
            <w:pPr>
              <w:spacing w:line="240" w:lineRule="auto"/>
            </w:pPr>
            <w:r/>
            <w:r>
              <w:rPr>
                <w:rFonts w:ascii="Times New Roman" w:hAnsi="Times New Roman"/>
                <w:sz w:val="18"/>
              </w:rPr>
              <w:t>3,572</w:t>
            </w:r>
          </w:p>
        </w:tc>
        <w:tc>
          <w:tcPr>
            <w:tcW w:type="dxa" w:w="1040"/>
          </w:tcPr>
          <w:p>
            <w:pPr>
              <w:spacing w:line="240" w:lineRule="auto"/>
            </w:pPr>
            <w:r/>
            <w:r>
              <w:rPr>
                <w:rFonts w:ascii="Times New Roman" w:hAnsi="Times New Roman"/>
                <w:sz w:val="18"/>
              </w:rPr>
              <w:t>105</w:t>
            </w:r>
          </w:p>
        </w:tc>
      </w:tr>
      <w:tr>
        <w:tc>
          <w:tcPr>
            <w:tcW w:type="dxa" w:w="1040"/>
          </w:tcPr>
          <w:p>
            <w:pPr>
              <w:spacing w:line="240" w:lineRule="auto"/>
            </w:pPr>
            <w:r/>
            <w:r>
              <w:rPr>
                <w:rFonts w:ascii="Times New Roman" w:hAnsi="Times New Roman"/>
                <w:sz w:val="18"/>
              </w:rPr>
              <w:t>+BRAF/TERT (sensitivity)</w:t>
            </w:r>
          </w:p>
        </w:tc>
        <w:tc>
          <w:tcPr>
            <w:tcW w:type="dxa" w:w="1040"/>
          </w:tcPr>
          <w:p>
            <w:pPr>
              <w:spacing w:line="240" w:lineRule="auto"/>
            </w:pPr>
            <w:r/>
            <w:r>
              <w:rPr>
                <w:rFonts w:ascii="Times New Roman" w:hAnsi="Times New Roman"/>
                <w:sz w:val="18"/>
              </w:rPr>
              <w:t>1.78</w:t>
            </w:r>
          </w:p>
        </w:tc>
        <w:tc>
          <w:tcPr>
            <w:tcW w:type="dxa" w:w="1040"/>
          </w:tcPr>
          <w:p>
            <w:pPr>
              <w:spacing w:line="240" w:lineRule="auto"/>
            </w:pPr>
            <w:r/>
            <w:r>
              <w:rPr>
                <w:rFonts w:ascii="Times New Roman" w:hAnsi="Times New Roman"/>
                <w:sz w:val="18"/>
              </w:rPr>
              <w:t>1.16–2.73</w:t>
            </w:r>
          </w:p>
        </w:tc>
        <w:tc>
          <w:tcPr>
            <w:tcW w:type="dxa" w:w="1040"/>
          </w:tcPr>
          <w:p>
            <w:pPr>
              <w:spacing w:line="240" w:lineRule="auto"/>
            </w:pPr>
            <w:r/>
            <w:r>
              <w:rPr>
                <w:rFonts w:ascii="Times New Roman" w:hAnsi="Times New Roman"/>
                <w:sz w:val="18"/>
              </w:rPr>
              <w:t>0.008</w:t>
            </w:r>
          </w:p>
        </w:tc>
        <w:tc>
          <w:tcPr>
            <w:tcW w:type="dxa" w:w="1040"/>
          </w:tcPr>
          <w:p>
            <w:pPr>
              <w:spacing w:line="240" w:lineRule="auto"/>
            </w:pPr>
            <w:r/>
            <w:r>
              <w:rPr>
                <w:rFonts w:ascii="Times New Roman" w:hAnsi="Times New Roman"/>
                <w:sz w:val="18"/>
              </w:rPr>
              <w:t>2.76</w:t>
            </w:r>
          </w:p>
        </w:tc>
        <w:tc>
          <w:tcPr>
            <w:tcW w:type="dxa" w:w="1040"/>
          </w:tcPr>
          <w:p>
            <w:pPr>
              <w:spacing w:line="240" w:lineRule="auto"/>
            </w:pPr>
            <w:r/>
            <w:r>
              <w:rPr>
                <w:rFonts w:ascii="Times New Roman" w:hAnsi="Times New Roman"/>
                <w:sz w:val="18"/>
              </w:rPr>
              <w:t>0.80–9.49</w:t>
            </w:r>
          </w:p>
        </w:tc>
        <w:tc>
          <w:tcPr>
            <w:tcW w:type="dxa" w:w="1040"/>
          </w:tcPr>
          <w:p>
            <w:pPr>
              <w:spacing w:line="240" w:lineRule="auto"/>
            </w:pPr>
            <w:r/>
            <w:r>
              <w:rPr>
                <w:rFonts w:ascii="Times New Roman" w:hAnsi="Times New Roman"/>
                <w:sz w:val="18"/>
              </w:rPr>
              <w:t>0.107</w:t>
            </w:r>
          </w:p>
        </w:tc>
        <w:tc>
          <w:tcPr>
            <w:tcW w:type="dxa" w:w="1040"/>
          </w:tcPr>
          <w:p>
            <w:pPr>
              <w:spacing w:line="240" w:lineRule="auto"/>
            </w:pPr>
            <w:r/>
            <w:r>
              <w:rPr>
                <w:rFonts w:ascii="Times New Roman" w:hAnsi="Times New Roman"/>
                <w:sz w:val="18"/>
              </w:rPr>
              <w:t>3,572</w:t>
            </w:r>
          </w:p>
        </w:tc>
        <w:tc>
          <w:tcPr>
            <w:tcW w:type="dxa" w:w="1040"/>
          </w:tcPr>
          <w:p>
            <w:pPr>
              <w:spacing w:line="240" w:lineRule="auto"/>
            </w:pPr>
            <w:r/>
            <w:r>
              <w:rPr>
                <w:rFonts w:ascii="Times New Roman" w:hAnsi="Times New Roman"/>
                <w:sz w:val="18"/>
              </w:rPr>
              <w:t>105</w:t>
            </w:r>
          </w:p>
        </w:tc>
      </w:tr>
      <w:tr>
        <w:tc>
          <w:tcPr>
            <w:tcW w:type="dxa" w:w="1040"/>
          </w:tcPr>
          <w:p>
            <w:pPr>
              <w:spacing w:line="240" w:lineRule="auto"/>
            </w:pPr>
            <w:r/>
            <w:r>
              <w:rPr>
                <w:rFonts w:ascii="Times New Roman" w:hAnsi="Times New Roman"/>
                <w:sz w:val="18"/>
              </w:rPr>
              <w:t>+LN topography (exploratory)</w:t>
            </w:r>
          </w:p>
        </w:tc>
        <w:tc>
          <w:tcPr>
            <w:tcW w:type="dxa" w:w="1040"/>
          </w:tcPr>
          <w:p>
            <w:pPr>
              <w:spacing w:line="240" w:lineRule="auto"/>
            </w:pPr>
            <w:r/>
            <w:r>
              <w:rPr>
                <w:rFonts w:ascii="Times New Roman" w:hAnsi="Times New Roman"/>
                <w:sz w:val="18"/>
              </w:rPr>
              <w:t>1.99</w:t>
            </w:r>
          </w:p>
        </w:tc>
        <w:tc>
          <w:tcPr>
            <w:tcW w:type="dxa" w:w="1040"/>
          </w:tcPr>
          <w:p>
            <w:pPr>
              <w:spacing w:line="240" w:lineRule="auto"/>
            </w:pPr>
            <w:r/>
            <w:r>
              <w:rPr>
                <w:rFonts w:ascii="Times New Roman" w:hAnsi="Times New Roman"/>
                <w:sz w:val="18"/>
              </w:rPr>
              <w:t>1.31–3.02</w:t>
            </w:r>
          </w:p>
        </w:tc>
        <w:tc>
          <w:tcPr>
            <w:tcW w:type="dxa" w:w="1040"/>
          </w:tcPr>
          <w:p>
            <w:pPr>
              <w:spacing w:line="240" w:lineRule="auto"/>
            </w:pPr>
            <w:r/>
            <w:r>
              <w:rPr>
                <w:rFonts w:ascii="Times New Roman" w:hAnsi="Times New Roman"/>
                <w:sz w:val="18"/>
              </w:rPr>
              <w:t>0.001</w:t>
            </w:r>
          </w:p>
        </w:tc>
        <w:tc>
          <w:tcPr>
            <w:tcW w:type="dxa" w:w="1040"/>
          </w:tcPr>
          <w:p>
            <w:pPr>
              <w:spacing w:line="240" w:lineRule="auto"/>
            </w:pPr>
            <w:r/>
            <w:r>
              <w:rPr>
                <w:rFonts w:ascii="Times New Roman" w:hAnsi="Times New Roman"/>
                <w:sz w:val="18"/>
              </w:rPr>
              <w:t>2.30</w:t>
            </w:r>
          </w:p>
        </w:tc>
        <w:tc>
          <w:tcPr>
            <w:tcW w:type="dxa" w:w="1040"/>
          </w:tcPr>
          <w:p>
            <w:pPr>
              <w:spacing w:line="240" w:lineRule="auto"/>
            </w:pPr>
            <w:r/>
            <w:r>
              <w:rPr>
                <w:rFonts w:ascii="Times New Roman" w:hAnsi="Times New Roman"/>
                <w:sz w:val="18"/>
              </w:rPr>
              <w:t>0.68–7.72</w:t>
            </w:r>
          </w:p>
        </w:tc>
        <w:tc>
          <w:tcPr>
            <w:tcW w:type="dxa" w:w="1040"/>
          </w:tcPr>
          <w:p>
            <w:pPr>
              <w:spacing w:line="240" w:lineRule="auto"/>
            </w:pPr>
            <w:r/>
            <w:r>
              <w:rPr>
                <w:rFonts w:ascii="Times New Roman" w:hAnsi="Times New Roman"/>
                <w:sz w:val="18"/>
              </w:rPr>
              <w:t>0.180</w:t>
            </w:r>
          </w:p>
        </w:tc>
        <w:tc>
          <w:tcPr>
            <w:tcW w:type="dxa" w:w="1040"/>
          </w:tcPr>
          <w:p>
            <w:pPr>
              <w:spacing w:line="240" w:lineRule="auto"/>
            </w:pPr>
            <w:r/>
            <w:r>
              <w:rPr>
                <w:rFonts w:ascii="Times New Roman" w:hAnsi="Times New Roman"/>
                <w:sz w:val="18"/>
              </w:rPr>
              <w:t>3,572</w:t>
            </w:r>
          </w:p>
        </w:tc>
        <w:tc>
          <w:tcPr>
            <w:tcW w:type="dxa" w:w="1040"/>
          </w:tcPr>
          <w:p>
            <w:pPr>
              <w:spacing w:line="240" w:lineRule="auto"/>
            </w:pPr>
            <w:r/>
            <w:r>
              <w:rPr>
                <w:rFonts w:ascii="Times New Roman" w:hAnsi="Times New Roman"/>
                <w:sz w:val="18"/>
              </w:rPr>
              <w:t>105</w:t>
            </w:r>
          </w:p>
        </w:tc>
      </w:tr>
      <w:tr>
        <w:tc>
          <w:tcPr>
            <w:tcW w:type="dxa" w:w="1040"/>
          </w:tcPr>
          <w:p>
            <w:pPr>
              <w:spacing w:line="240" w:lineRule="auto"/>
            </w:pPr>
            <w:r/>
            <w:r>
              <w:rPr>
                <w:rFonts w:ascii="Times New Roman" w:hAnsi="Times New Roman"/>
                <w:sz w:val="18"/>
              </w:rPr>
              <w:t>ETE × LN interaction</w:t>
            </w:r>
          </w:p>
        </w:tc>
        <w:tc>
          <w:tcPr>
            <w:tcW w:type="dxa" w:w="1040"/>
          </w:tcPr>
          <w:p>
            <w:pPr>
              <w:spacing w:line="240" w:lineRule="auto"/>
            </w:pPr>
            <w:r/>
            <w:r>
              <w:rPr>
                <w:rFonts w:ascii="Times New Roman" w:hAnsi="Times New Roman"/>
                <w:sz w:val="18"/>
              </w:rPr>
              <w:t>2.21</w:t>
            </w:r>
          </w:p>
        </w:tc>
        <w:tc>
          <w:tcPr>
            <w:tcW w:type="dxa" w:w="1040"/>
          </w:tcPr>
          <w:p>
            <w:pPr>
              <w:spacing w:line="240" w:lineRule="auto"/>
            </w:pPr>
            <w:r/>
            <w:r>
              <w:rPr>
                <w:rFonts w:ascii="Times New Roman" w:hAnsi="Times New Roman"/>
                <w:sz w:val="18"/>
              </w:rPr>
              <w:t>1.20–4.05</w:t>
            </w:r>
          </w:p>
        </w:tc>
        <w:tc>
          <w:tcPr>
            <w:tcW w:type="dxa" w:w="1040"/>
          </w:tcPr>
          <w:p>
            <w:pPr>
              <w:spacing w:line="240" w:lineRule="auto"/>
            </w:pPr>
            <w:r/>
            <w:r>
              <w:rPr>
                <w:rFonts w:ascii="Times New Roman" w:hAnsi="Times New Roman"/>
                <w:sz w:val="18"/>
              </w:rPr>
              <w:t>0.011</w:t>
            </w:r>
          </w:p>
        </w:tc>
        <w:tc>
          <w:tcPr>
            <w:tcW w:type="dxa" w:w="1040"/>
          </w:tcPr>
          <w:p>
            <w:pPr>
              <w:spacing w:line="240" w:lineRule="auto"/>
            </w:pPr>
            <w:r/>
            <w:r>
              <w:rPr>
                <w:rFonts w:ascii="Times New Roman" w:hAnsi="Times New Roman"/>
                <w:sz w:val="18"/>
              </w:rPr>
              <w:t>2.34</w:t>
            </w:r>
          </w:p>
        </w:tc>
        <w:tc>
          <w:tcPr>
            <w:tcW w:type="dxa" w:w="1040"/>
          </w:tcPr>
          <w:p>
            <w:pPr>
              <w:spacing w:line="240" w:lineRule="auto"/>
            </w:pPr>
            <w:r/>
            <w:r>
              <w:rPr>
                <w:rFonts w:ascii="Times New Roman" w:hAnsi="Times New Roman"/>
                <w:sz w:val="18"/>
              </w:rPr>
              <w:t>0.69–7.92</w:t>
            </w:r>
          </w:p>
        </w:tc>
        <w:tc>
          <w:tcPr>
            <w:tcW w:type="dxa" w:w="1040"/>
          </w:tcPr>
          <w:p>
            <w:pPr>
              <w:spacing w:line="240" w:lineRule="auto"/>
            </w:pPr>
            <w:r/>
            <w:r>
              <w:rPr>
                <w:rFonts w:ascii="Times New Roman" w:hAnsi="Times New Roman"/>
                <w:sz w:val="18"/>
              </w:rPr>
              <w:t>0.170</w:t>
            </w:r>
          </w:p>
        </w:tc>
        <w:tc>
          <w:tcPr>
            <w:tcW w:type="dxa" w:w="1040"/>
          </w:tcPr>
          <w:p>
            <w:pPr>
              <w:spacing w:line="240" w:lineRule="auto"/>
            </w:pPr>
            <w:r/>
            <w:r>
              <w:rPr>
                <w:rFonts w:ascii="Times New Roman" w:hAnsi="Times New Roman"/>
                <w:sz w:val="18"/>
              </w:rPr>
              <w:t>3,578</w:t>
            </w:r>
          </w:p>
        </w:tc>
        <w:tc>
          <w:tcPr>
            <w:tcW w:type="dxa" w:w="1040"/>
          </w:tcPr>
          <w:p>
            <w:pPr>
              <w:spacing w:line="240" w:lineRule="auto"/>
            </w:pPr>
            <w:r/>
            <w:r>
              <w:rPr>
                <w:rFonts w:ascii="Times New Roman" w:hAnsi="Times New Roman"/>
                <w:sz w:val="18"/>
              </w:rPr>
              <w:t>105</w:t>
            </w:r>
          </w:p>
        </w:tc>
      </w:tr>
      <w:tr>
        <w:tc>
          <w:tcPr>
            <w:tcW w:type="dxa" w:w="1040"/>
          </w:tcPr>
          <w:p>
            <w:pPr>
              <w:spacing w:line="240" w:lineRule="auto"/>
            </w:pPr>
            <w:r/>
            <w:r>
              <w:rPr>
                <w:rFonts w:ascii="Times New Roman" w:hAnsi="Times New Roman"/>
                <w:sz w:val="18"/>
              </w:rPr>
              <w:t>PTC only (exploratory)</w:t>
            </w:r>
          </w:p>
        </w:tc>
        <w:tc>
          <w:tcPr>
            <w:tcW w:type="dxa" w:w="1040"/>
          </w:tcPr>
          <w:p>
            <w:pPr>
              <w:spacing w:line="240" w:lineRule="auto"/>
            </w:pPr>
            <w:r/>
            <w:r>
              <w:rPr>
                <w:rFonts w:ascii="Times New Roman" w:hAnsi="Times New Roman"/>
                <w:sz w:val="18"/>
              </w:rPr>
              <w:t>1.97</w:t>
            </w:r>
          </w:p>
        </w:tc>
        <w:tc>
          <w:tcPr>
            <w:tcW w:type="dxa" w:w="1040"/>
          </w:tcPr>
          <w:p>
            <w:pPr>
              <w:spacing w:line="240" w:lineRule="auto"/>
            </w:pPr>
            <w:r/>
            <w:r>
              <w:rPr>
                <w:rFonts w:ascii="Times New Roman" w:hAnsi="Times New Roman"/>
                <w:sz w:val="18"/>
              </w:rPr>
              <w:t>1.26–3.07</w:t>
            </w:r>
          </w:p>
        </w:tc>
        <w:tc>
          <w:tcPr>
            <w:tcW w:type="dxa" w:w="1040"/>
          </w:tcPr>
          <w:p>
            <w:pPr>
              <w:spacing w:line="240" w:lineRule="auto"/>
            </w:pPr>
            <w:r/>
            <w:r>
              <w:rPr>
                <w:rFonts w:ascii="Times New Roman" w:hAnsi="Times New Roman"/>
                <w:sz w:val="18"/>
              </w:rPr>
              <w:t>0.003</w:t>
            </w:r>
          </w:p>
        </w:tc>
        <w:tc>
          <w:tcPr>
            <w:tcW w:type="dxa" w:w="1040"/>
          </w:tcPr>
          <w:p>
            <w:pPr>
              <w:spacing w:line="240" w:lineRule="auto"/>
            </w:pPr>
            <w:r/>
            <w:r>
              <w:rPr>
                <w:rFonts w:ascii="Times New Roman" w:hAnsi="Times New Roman"/>
                <w:sz w:val="18"/>
              </w:rPr>
              <w:t>2.89</w:t>
            </w:r>
          </w:p>
        </w:tc>
        <w:tc>
          <w:tcPr>
            <w:tcW w:type="dxa" w:w="1040"/>
          </w:tcPr>
          <w:p>
            <w:pPr>
              <w:spacing w:line="240" w:lineRule="auto"/>
            </w:pPr>
            <w:r/>
            <w:r>
              <w:rPr>
                <w:rFonts w:ascii="Times New Roman" w:hAnsi="Times New Roman"/>
                <w:sz w:val="18"/>
              </w:rPr>
              <w:t>0.85–9.85</w:t>
            </w:r>
          </w:p>
        </w:tc>
        <w:tc>
          <w:tcPr>
            <w:tcW w:type="dxa" w:w="1040"/>
          </w:tcPr>
          <w:p>
            <w:pPr>
              <w:spacing w:line="240" w:lineRule="auto"/>
            </w:pPr>
            <w:r/>
            <w:r>
              <w:rPr>
                <w:rFonts w:ascii="Times New Roman" w:hAnsi="Times New Roman"/>
                <w:sz w:val="18"/>
              </w:rPr>
              <w:t>0.089</w:t>
            </w:r>
          </w:p>
        </w:tc>
        <w:tc>
          <w:tcPr>
            <w:tcW w:type="dxa" w:w="1040"/>
          </w:tcPr>
          <w:p>
            <w:pPr>
              <w:spacing w:line="240" w:lineRule="auto"/>
            </w:pPr>
            <w:r/>
            <w:r>
              <w:rPr>
                <w:rFonts w:ascii="Times New Roman" w:hAnsi="Times New Roman"/>
                <w:sz w:val="18"/>
              </w:rPr>
              <w:t>3,047</w:t>
            </w:r>
          </w:p>
        </w:tc>
        <w:tc>
          <w:tcPr>
            <w:tcW w:type="dxa" w:w="1040"/>
          </w:tcPr>
          <w:p>
            <w:pPr>
              <w:spacing w:line="240" w:lineRule="auto"/>
            </w:pPr>
            <w:r/>
            <w:r>
              <w:rPr>
                <w:rFonts w:ascii="Times New Roman" w:hAnsi="Times New Roman"/>
                <w:sz w:val="18"/>
              </w:rPr>
              <w:t>92</w:t>
            </w:r>
          </w:p>
        </w:tc>
      </w:tr>
      <w:tr>
        <w:tc>
          <w:tcPr>
            <w:tcW w:type="dxa" w:w="1040"/>
          </w:tcPr>
          <w:p>
            <w:pPr>
              <w:spacing w:line="240" w:lineRule="auto"/>
            </w:pPr>
            <w:r/>
            <w:r>
              <w:rPr>
                <w:rFonts w:ascii="Times New Roman" w:hAnsi="Times New Roman"/>
                <w:sz w:val="18"/>
              </w:rPr>
              <w:t>Composite LVI (exploratory)</w:t>
            </w:r>
          </w:p>
        </w:tc>
        <w:tc>
          <w:tcPr>
            <w:tcW w:type="dxa" w:w="1040"/>
          </w:tcPr>
          <w:p>
            <w:pPr>
              <w:spacing w:line="240" w:lineRule="auto"/>
            </w:pPr>
            <w:r/>
            <w:r>
              <w:rPr>
                <w:rFonts w:ascii="Times New Roman" w:hAnsi="Times New Roman"/>
                <w:sz w:val="18"/>
              </w:rPr>
              <w:t>2.04</w:t>
            </w:r>
          </w:p>
        </w:tc>
        <w:tc>
          <w:tcPr>
            <w:tcW w:type="dxa" w:w="1040"/>
          </w:tcPr>
          <w:p>
            <w:pPr>
              <w:spacing w:line="240" w:lineRule="auto"/>
            </w:pPr>
            <w:r/>
            <w:r>
              <w:rPr>
                <w:rFonts w:ascii="Times New Roman" w:hAnsi="Times New Roman"/>
                <w:sz w:val="18"/>
              </w:rPr>
              <w:t>1.35–3.09</w:t>
            </w:r>
          </w:p>
        </w:tc>
        <w:tc>
          <w:tcPr>
            <w:tcW w:type="dxa" w:w="1040"/>
          </w:tcPr>
          <w:p>
            <w:pPr>
              <w:spacing w:line="240" w:lineRule="auto"/>
            </w:pPr>
            <w:r/>
            <w:r>
              <w:rPr>
                <w:rFonts w:ascii="Times New Roman" w:hAnsi="Times New Roman"/>
                <w:sz w:val="18"/>
              </w:rPr>
              <w:t>&lt;0.001</w:t>
            </w:r>
          </w:p>
        </w:tc>
        <w:tc>
          <w:tcPr>
            <w:tcW w:type="dxa" w:w="1040"/>
          </w:tcPr>
          <w:p>
            <w:pPr>
              <w:spacing w:line="240" w:lineRule="auto"/>
            </w:pPr>
            <w:r/>
            <w:r>
              <w:rPr>
                <w:rFonts w:ascii="Times New Roman" w:hAnsi="Times New Roman"/>
                <w:sz w:val="18"/>
              </w:rPr>
              <w:t>2.18</w:t>
            </w:r>
          </w:p>
        </w:tc>
        <w:tc>
          <w:tcPr>
            <w:tcW w:type="dxa" w:w="1040"/>
          </w:tcPr>
          <w:p>
            <w:pPr>
              <w:spacing w:line="240" w:lineRule="auto"/>
            </w:pPr>
            <w:r/>
            <w:r>
              <w:rPr>
                <w:rFonts w:ascii="Times New Roman" w:hAnsi="Times New Roman"/>
                <w:sz w:val="18"/>
              </w:rPr>
              <w:t>0.65–7.34</w:t>
            </w:r>
          </w:p>
        </w:tc>
        <w:tc>
          <w:tcPr>
            <w:tcW w:type="dxa" w:w="1040"/>
          </w:tcPr>
          <w:p>
            <w:pPr>
              <w:spacing w:line="240" w:lineRule="auto"/>
            </w:pPr>
            <w:r/>
            <w:r>
              <w:rPr>
                <w:rFonts w:ascii="Times New Roman" w:hAnsi="Times New Roman"/>
                <w:sz w:val="18"/>
              </w:rPr>
              <w:t>0.208</w:t>
            </w:r>
          </w:p>
        </w:tc>
        <w:tc>
          <w:tcPr>
            <w:tcW w:type="dxa" w:w="1040"/>
          </w:tcPr>
          <w:p>
            <w:pPr>
              <w:spacing w:line="240" w:lineRule="auto"/>
            </w:pPr>
            <w:r/>
            <w:r>
              <w:rPr>
                <w:rFonts w:ascii="Times New Roman" w:hAnsi="Times New Roman"/>
                <w:sz w:val="18"/>
              </w:rPr>
              <w:t>3,572</w:t>
            </w:r>
          </w:p>
        </w:tc>
        <w:tc>
          <w:tcPr>
            <w:tcW w:type="dxa" w:w="1040"/>
          </w:tcPr>
          <w:p>
            <w:pPr>
              <w:spacing w:line="240" w:lineRule="auto"/>
            </w:pPr>
            <w:r/>
            <w:r>
              <w:rPr>
                <w:rFonts w:ascii="Times New Roman" w:hAnsi="Times New Roman"/>
                <w:sz w:val="18"/>
              </w:rPr>
              <w:t>105</w:t>
            </w:r>
          </w:p>
        </w:tc>
      </w:tr>
      <w:tr>
        <w:tc>
          <w:tcPr>
            <w:tcW w:type="dxa" w:w="1040"/>
          </w:tcPr>
          <w:p>
            <w:pPr>
              <w:spacing w:line="240" w:lineRule="auto"/>
            </w:pPr>
            <w:r/>
            <w:r>
              <w:rPr>
                <w:rFonts w:ascii="Times New Roman" w:hAnsi="Times New Roman"/>
                <w:sz w:val="18"/>
              </w:rPr>
              <w:t>Follow-up &gt;0 y (sensitivity)</w:t>
            </w:r>
          </w:p>
        </w:tc>
        <w:tc>
          <w:tcPr>
            <w:tcW w:type="dxa" w:w="1040"/>
          </w:tcPr>
          <w:p>
            <w:pPr>
              <w:spacing w:line="240" w:lineRule="auto"/>
            </w:pPr>
            <w:r/>
            <w:r>
              <w:rPr>
                <w:rFonts w:ascii="Times New Roman" w:hAnsi="Times New Roman"/>
                <w:sz w:val="18"/>
              </w:rPr>
              <w:t>1.79</w:t>
            </w:r>
          </w:p>
        </w:tc>
        <w:tc>
          <w:tcPr>
            <w:tcW w:type="dxa" w:w="1040"/>
          </w:tcPr>
          <w:p>
            <w:pPr>
              <w:spacing w:line="240" w:lineRule="auto"/>
            </w:pPr>
            <w:r/>
            <w:r>
              <w:rPr>
                <w:rFonts w:ascii="Times New Roman" w:hAnsi="Times New Roman"/>
                <w:sz w:val="18"/>
              </w:rPr>
              <w:t>1.17–2.72</w:t>
            </w:r>
          </w:p>
        </w:tc>
        <w:tc>
          <w:tcPr>
            <w:tcW w:type="dxa" w:w="1040"/>
          </w:tcPr>
          <w:p>
            <w:pPr>
              <w:spacing w:line="240" w:lineRule="auto"/>
            </w:pPr>
            <w:r/>
            <w:r>
              <w:rPr>
                <w:rFonts w:ascii="Times New Roman" w:hAnsi="Times New Roman"/>
                <w:sz w:val="18"/>
              </w:rPr>
              <w:t>0.007</w:t>
            </w:r>
          </w:p>
        </w:tc>
        <w:tc>
          <w:tcPr>
            <w:tcW w:type="dxa" w:w="1040"/>
          </w:tcPr>
          <w:p>
            <w:pPr>
              <w:spacing w:line="240" w:lineRule="auto"/>
            </w:pPr>
            <w:r/>
            <w:r>
              <w:rPr>
                <w:rFonts w:ascii="Times New Roman" w:hAnsi="Times New Roman"/>
                <w:sz w:val="18"/>
              </w:rPr>
              <w:t>2.46</w:t>
            </w:r>
          </w:p>
        </w:tc>
        <w:tc>
          <w:tcPr>
            <w:tcW w:type="dxa" w:w="1040"/>
          </w:tcPr>
          <w:p>
            <w:pPr>
              <w:spacing w:line="240" w:lineRule="auto"/>
            </w:pPr>
            <w:r/>
            <w:r>
              <w:rPr>
                <w:rFonts w:ascii="Times New Roman" w:hAnsi="Times New Roman"/>
                <w:sz w:val="18"/>
              </w:rPr>
              <w:t>0.72–8.42</w:t>
            </w:r>
          </w:p>
        </w:tc>
        <w:tc>
          <w:tcPr>
            <w:tcW w:type="dxa" w:w="1040"/>
          </w:tcPr>
          <w:p>
            <w:pPr>
              <w:spacing w:line="240" w:lineRule="auto"/>
            </w:pPr>
            <w:r/>
            <w:r>
              <w:rPr>
                <w:rFonts w:ascii="Times New Roman" w:hAnsi="Times New Roman"/>
                <w:sz w:val="18"/>
              </w:rPr>
              <w:t>0.150</w:t>
            </w:r>
          </w:p>
        </w:tc>
        <w:tc>
          <w:tcPr>
            <w:tcW w:type="dxa" w:w="1040"/>
          </w:tcPr>
          <w:p>
            <w:pPr>
              <w:spacing w:line="240" w:lineRule="auto"/>
            </w:pPr>
            <w:r/>
            <w:r>
              <w:rPr>
                <w:rFonts w:ascii="Times New Roman" w:hAnsi="Times New Roman"/>
                <w:sz w:val="18"/>
              </w:rPr>
              <w:t>2,391</w:t>
            </w:r>
          </w:p>
        </w:tc>
        <w:tc>
          <w:tcPr>
            <w:tcW w:type="dxa" w:w="1040"/>
          </w:tcPr>
          <w:p>
            <w:pPr>
              <w:spacing w:line="240" w:lineRule="auto"/>
            </w:pPr>
            <w:r/>
            <w:r>
              <w:rPr>
                <w:rFonts w:ascii="Times New Roman" w:hAnsi="Times New Roman"/>
                <w:sz w:val="18"/>
              </w:rPr>
              <w:t>104</w:t>
            </w:r>
          </w:p>
        </w:tc>
      </w:tr>
      <w:tr>
        <w:tc>
          <w:tcPr>
            <w:tcW w:type="dxa" w:w="1040"/>
          </w:tcPr>
          <w:p>
            <w:pPr>
              <w:spacing w:line="240" w:lineRule="auto"/>
            </w:pPr>
            <w:r/>
            <w:r>
              <w:rPr>
                <w:rFonts w:ascii="Times New Roman" w:hAnsi="Times New Roman"/>
                <w:sz w:val="18"/>
              </w:rPr>
              <w:t>Follow-up ≥1 y (sensitivity)</w:t>
            </w:r>
          </w:p>
        </w:tc>
        <w:tc>
          <w:tcPr>
            <w:tcW w:type="dxa" w:w="1040"/>
          </w:tcPr>
          <w:p>
            <w:pPr>
              <w:spacing w:line="240" w:lineRule="auto"/>
            </w:pPr>
            <w:r/>
            <w:r>
              <w:rPr>
                <w:rFonts w:ascii="Times New Roman" w:hAnsi="Times New Roman"/>
                <w:sz w:val="18"/>
              </w:rPr>
              <w:t>2.10</w:t>
            </w:r>
          </w:p>
        </w:tc>
        <w:tc>
          <w:tcPr>
            <w:tcW w:type="dxa" w:w="1040"/>
          </w:tcPr>
          <w:p>
            <w:pPr>
              <w:spacing w:line="240" w:lineRule="auto"/>
            </w:pPr>
            <w:r/>
            <w:r>
              <w:rPr>
                <w:rFonts w:ascii="Times New Roman" w:hAnsi="Times New Roman"/>
                <w:sz w:val="18"/>
              </w:rPr>
              <w:t>1.30–3.39</w:t>
            </w:r>
          </w:p>
        </w:tc>
        <w:tc>
          <w:tcPr>
            <w:tcW w:type="dxa" w:w="1040"/>
          </w:tcPr>
          <w:p>
            <w:pPr>
              <w:spacing w:line="240" w:lineRule="auto"/>
            </w:pPr>
            <w:r/>
            <w:r>
              <w:rPr>
                <w:rFonts w:ascii="Times New Roman" w:hAnsi="Times New Roman"/>
                <w:sz w:val="18"/>
              </w:rPr>
              <w:t>0.002</w:t>
            </w:r>
          </w:p>
        </w:tc>
        <w:tc>
          <w:tcPr>
            <w:tcW w:type="dxa" w:w="1040"/>
          </w:tcPr>
          <w:p>
            <w:pPr>
              <w:spacing w:line="240" w:lineRule="auto"/>
            </w:pPr>
            <w:r/>
            <w:r>
              <w:rPr>
                <w:rFonts w:ascii="Times New Roman" w:hAnsi="Times New Roman"/>
                <w:sz w:val="18"/>
              </w:rPr>
              <w:t>—</w:t>
            </w:r>
          </w:p>
        </w:tc>
        <w:tc>
          <w:tcPr>
            <w:tcW w:type="dxa" w:w="1040"/>
          </w:tcPr>
          <w:p>
            <w:pPr>
              <w:spacing w:line="240" w:lineRule="auto"/>
            </w:pPr>
            <w:r/>
            <w:r>
              <w:rPr>
                <w:rFonts w:ascii="Times New Roman" w:hAnsi="Times New Roman"/>
                <w:sz w:val="18"/>
              </w:rPr>
              <w:t>—</w:t>
            </w:r>
          </w:p>
        </w:tc>
        <w:tc>
          <w:tcPr>
            <w:tcW w:type="dxa" w:w="1040"/>
          </w:tcPr>
          <w:p>
            <w:pPr>
              <w:spacing w:line="240" w:lineRule="auto"/>
            </w:pPr>
            <w:r/>
            <w:r>
              <w:rPr>
                <w:rFonts w:ascii="Times New Roman" w:hAnsi="Times New Roman"/>
                <w:sz w:val="18"/>
              </w:rPr>
              <w:t>—</w:t>
            </w:r>
          </w:p>
        </w:tc>
        <w:tc>
          <w:tcPr>
            <w:tcW w:type="dxa" w:w="1040"/>
          </w:tcPr>
          <w:p>
            <w:pPr>
              <w:spacing w:line="240" w:lineRule="auto"/>
            </w:pPr>
            <w:r/>
            <w:r>
              <w:rPr>
                <w:rFonts w:ascii="Times New Roman" w:hAnsi="Times New Roman"/>
                <w:sz w:val="18"/>
              </w:rPr>
              <w:t>1,830</w:t>
            </w:r>
          </w:p>
        </w:tc>
        <w:tc>
          <w:tcPr>
            <w:tcW w:type="dxa" w:w="1040"/>
          </w:tcPr>
          <w:p>
            <w:pPr>
              <w:spacing w:line="240" w:lineRule="auto"/>
            </w:pPr>
            <w:r/>
            <w:r>
              <w:rPr>
                <w:rFonts w:ascii="Times New Roman" w:hAnsi="Times New Roman"/>
                <w:sz w:val="18"/>
              </w:rPr>
              <w:t>86</w:t>
            </w:r>
          </w:p>
        </w:tc>
      </w:tr>
    </w:tbl>
    <w:p>
      <w:pPr>
        <w:spacing w:line="240" w:lineRule="auto"/>
      </w:pPr>
      <w:r>
        <w:rPr>
          <w:rFonts w:ascii="Times New Roman" w:hAnsi="Times New Roman"/>
          <w:b w:val="0"/>
          <w:i/>
          <w:sz w:val="24"/>
        </w:rPr>
        <w:t>In the +RAI sensitivity model, RAI itself entered at aOR 3.72 (95 % CI, 2.45–5.64; p &lt; 0.001), consistent with confounding by indication. In the LN-topography model, central LN+ aOR 1.78 (1.04–3.06; p = 0.036) and lateral LN+ aOR 1.85 (1.05–3.24; p = 0.033). The ETE × ln(1 + LN positive) interaction term itself was non-significant (interaction OR 0.87; 95 % CI, 0.59–1.28; p = 0.485). In the FU ≥ 1 y sensitivity model, AJCC N1b reached significance (aOR 3.88; 95 % CI, 1.34–11.25; p = 0.013).</w:t>
      </w:r>
    </w:p>
    <w:p>
      <w:r>
        <w:br w:type="page"/>
      </w:r>
    </w:p>
    <w:p>
      <w:pPr>
        <w:spacing w:line="240" w:lineRule="auto"/>
      </w:pPr>
      <w:r>
        <w:rPr>
          <w:rFonts w:ascii="Times New Roman" w:hAnsi="Times New Roman"/>
          <w:b/>
          <w:sz w:val="24"/>
        </w:rPr>
        <w:t xml:space="preserve">Table 4. </w:t>
      </w:r>
      <w:r>
        <w:rPr>
          <w:rFonts w:ascii="Times New Roman" w:hAnsi="Times New Roman"/>
          <w:sz w:val="24"/>
        </w:rPr>
        <w:t>No/negative ETE confounding audit — composite-recurrent (n = 4) versus non-recurrent (n = 64) patients within the no/negative ETE subgroup (n = 68).</w:t>
      </w:r>
    </w:p>
    <w:tbl>
      <w:tblPr>
        <w:tblStyle w:val="LightGrid-Accent1"/>
        <w:tblW w:type="auto" w:w="0"/>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18"/>
              </w:rPr>
              <w:t>Variable</w:t>
            </w:r>
          </w:p>
        </w:tc>
        <w:tc>
          <w:tcPr>
            <w:tcW w:type="dxa" w:w="3120"/>
          </w:tcPr>
          <w:p>
            <w:pPr>
              <w:spacing w:line="240" w:lineRule="auto"/>
            </w:pPr>
            <w:r/>
            <w:r>
              <w:rPr>
                <w:rFonts w:ascii="Times New Roman" w:hAnsi="Times New Roman"/>
                <w:b/>
                <w:sz w:val="18"/>
              </w:rPr>
              <w:t>No recurrence (n=64)</w:t>
            </w:r>
          </w:p>
        </w:tc>
        <w:tc>
          <w:tcPr>
            <w:tcW w:type="dxa" w:w="3120"/>
          </w:tcPr>
          <w:p>
            <w:pPr>
              <w:spacing w:line="240" w:lineRule="auto"/>
            </w:pPr>
            <w:r/>
            <w:r>
              <w:rPr>
                <w:rFonts w:ascii="Times New Roman" w:hAnsi="Times New Roman"/>
                <w:b/>
                <w:sz w:val="18"/>
              </w:rPr>
              <w:t>Composite recurrence (n=4)</w:t>
            </w:r>
          </w:p>
        </w:tc>
      </w:tr>
      <w:tr>
        <w:tc>
          <w:tcPr>
            <w:tcW w:type="dxa" w:w="3120"/>
          </w:tcPr>
          <w:p>
            <w:pPr>
              <w:spacing w:line="240" w:lineRule="auto"/>
            </w:pPr>
            <w:r/>
            <w:r>
              <w:rPr>
                <w:rFonts w:ascii="Times New Roman" w:hAnsi="Times New Roman"/>
                <w:sz w:val="18"/>
              </w:rPr>
              <w:t>Demographics</w:t>
            </w:r>
          </w:p>
        </w:tc>
        <w:tc>
          <w:tcPr>
            <w:tcW w:type="dxa" w:w="3120"/>
          </w:tcPr>
          <w:p>
            <w:pPr>
              <w:spacing w:line="240" w:lineRule="auto"/>
            </w:pPr>
            <w:r/>
            <w:r>
              <w:rPr>
                <w:rFonts w:ascii="Times New Roman" w:hAnsi="Times New Roman"/>
                <w:sz w:val="18"/>
              </w:rPr>
            </w:r>
          </w:p>
        </w:tc>
        <w:tc>
          <w:tcPr>
            <w:tcW w:type="dxa" w:w="3120"/>
          </w:tcPr>
          <w:p>
            <w:pPr>
              <w:spacing w:line="240" w:lineRule="auto"/>
            </w:pPr>
            <w:r/>
            <w:r>
              <w:rPr>
                <w:rFonts w:ascii="Times New Roman" w:hAnsi="Times New Roman"/>
                <w:sz w:val="18"/>
              </w:rPr>
            </w:r>
          </w:p>
        </w:tc>
      </w:tr>
      <w:tr>
        <w:tc>
          <w:tcPr>
            <w:tcW w:type="dxa" w:w="3120"/>
          </w:tcPr>
          <w:p>
            <w:pPr>
              <w:spacing w:line="240" w:lineRule="auto"/>
            </w:pPr>
            <w:r/>
            <w:r>
              <w:rPr>
                <w:rFonts w:ascii="Times New Roman" w:hAnsi="Times New Roman"/>
                <w:sz w:val="18"/>
              </w:rPr>
              <w:t>Age, y, median (IQR)</w:t>
            </w:r>
          </w:p>
        </w:tc>
        <w:tc>
          <w:tcPr>
            <w:tcW w:type="dxa" w:w="3120"/>
          </w:tcPr>
          <w:p>
            <w:pPr>
              <w:spacing w:line="240" w:lineRule="auto"/>
            </w:pPr>
            <w:r/>
            <w:r>
              <w:rPr>
                <w:rFonts w:ascii="Times New Roman" w:hAnsi="Times New Roman"/>
                <w:sz w:val="18"/>
              </w:rPr>
              <w:t>49.0 (35.8–58.0)</w:t>
            </w:r>
          </w:p>
        </w:tc>
        <w:tc>
          <w:tcPr>
            <w:tcW w:type="dxa" w:w="3120"/>
          </w:tcPr>
          <w:p>
            <w:pPr>
              <w:spacing w:line="240" w:lineRule="auto"/>
            </w:pPr>
            <w:r/>
            <w:r>
              <w:rPr>
                <w:rFonts w:ascii="Times New Roman" w:hAnsi="Times New Roman"/>
                <w:sz w:val="18"/>
              </w:rPr>
              <w:t>57.5 (54.8–61.8)</w:t>
            </w:r>
          </w:p>
        </w:tc>
      </w:tr>
      <w:tr>
        <w:tc>
          <w:tcPr>
            <w:tcW w:type="dxa" w:w="3120"/>
          </w:tcPr>
          <w:p>
            <w:pPr>
              <w:spacing w:line="240" w:lineRule="auto"/>
            </w:pPr>
            <w:r/>
            <w:r>
              <w:rPr>
                <w:rFonts w:ascii="Times New Roman" w:hAnsi="Times New Roman"/>
                <w:sz w:val="18"/>
              </w:rPr>
              <w:t>Female sex</w:t>
            </w:r>
          </w:p>
        </w:tc>
        <w:tc>
          <w:tcPr>
            <w:tcW w:type="dxa" w:w="3120"/>
          </w:tcPr>
          <w:p>
            <w:pPr>
              <w:spacing w:line="240" w:lineRule="auto"/>
            </w:pPr>
            <w:r/>
            <w:r>
              <w:rPr>
                <w:rFonts w:ascii="Times New Roman" w:hAnsi="Times New Roman"/>
                <w:sz w:val="18"/>
              </w:rPr>
              <w:t>47 (73.4%)</w:t>
            </w:r>
          </w:p>
        </w:tc>
        <w:tc>
          <w:tcPr>
            <w:tcW w:type="dxa" w:w="3120"/>
          </w:tcPr>
          <w:p>
            <w:pPr>
              <w:spacing w:line="240" w:lineRule="auto"/>
            </w:pPr>
            <w:r/>
            <w:r>
              <w:rPr>
                <w:rFonts w:ascii="Times New Roman" w:hAnsi="Times New Roman"/>
                <w:sz w:val="18"/>
              </w:rPr>
              <w:t>4 (100%)</w:t>
            </w:r>
          </w:p>
        </w:tc>
      </w:tr>
      <w:tr>
        <w:tc>
          <w:tcPr>
            <w:tcW w:type="dxa" w:w="3120"/>
          </w:tcPr>
          <w:p>
            <w:pPr>
              <w:spacing w:line="240" w:lineRule="auto"/>
            </w:pPr>
            <w:r/>
            <w:r>
              <w:rPr>
                <w:rFonts w:ascii="Times New Roman" w:hAnsi="Times New Roman"/>
                <w:sz w:val="18"/>
              </w:rPr>
              <w:t>Tumor characteristics</w:t>
            </w:r>
          </w:p>
        </w:tc>
        <w:tc>
          <w:tcPr>
            <w:tcW w:type="dxa" w:w="3120"/>
          </w:tcPr>
          <w:p>
            <w:pPr>
              <w:spacing w:line="240" w:lineRule="auto"/>
            </w:pPr>
            <w:r/>
            <w:r>
              <w:rPr>
                <w:rFonts w:ascii="Times New Roman" w:hAnsi="Times New Roman"/>
                <w:sz w:val="18"/>
              </w:rPr>
            </w:r>
          </w:p>
        </w:tc>
        <w:tc>
          <w:tcPr>
            <w:tcW w:type="dxa" w:w="3120"/>
          </w:tcPr>
          <w:p>
            <w:pPr>
              <w:spacing w:line="240" w:lineRule="auto"/>
            </w:pPr>
            <w:r/>
            <w:r>
              <w:rPr>
                <w:rFonts w:ascii="Times New Roman" w:hAnsi="Times New Roman"/>
                <w:sz w:val="18"/>
              </w:rPr>
            </w:r>
          </w:p>
        </w:tc>
      </w:tr>
      <w:tr>
        <w:tc>
          <w:tcPr>
            <w:tcW w:type="dxa" w:w="3120"/>
          </w:tcPr>
          <w:p>
            <w:pPr>
              <w:spacing w:line="240" w:lineRule="auto"/>
            </w:pPr>
            <w:r/>
            <w:r>
              <w:rPr>
                <w:rFonts w:ascii="Times New Roman" w:hAnsi="Times New Roman"/>
                <w:sz w:val="18"/>
              </w:rPr>
              <w:t>Tumor size, cm, median (IQR)</w:t>
            </w:r>
          </w:p>
        </w:tc>
        <w:tc>
          <w:tcPr>
            <w:tcW w:type="dxa" w:w="3120"/>
          </w:tcPr>
          <w:p>
            <w:pPr>
              <w:spacing w:line="240" w:lineRule="auto"/>
            </w:pPr>
            <w:r/>
            <w:r>
              <w:rPr>
                <w:rFonts w:ascii="Times New Roman" w:hAnsi="Times New Roman"/>
                <w:sz w:val="18"/>
              </w:rPr>
              <w:t>1.05 (0.50–2.55)</w:t>
            </w:r>
          </w:p>
        </w:tc>
        <w:tc>
          <w:tcPr>
            <w:tcW w:type="dxa" w:w="3120"/>
          </w:tcPr>
          <w:p>
            <w:pPr>
              <w:spacing w:line="240" w:lineRule="auto"/>
            </w:pPr>
            <w:r/>
            <w:r>
              <w:rPr>
                <w:rFonts w:ascii="Times New Roman" w:hAnsi="Times New Roman"/>
                <w:sz w:val="18"/>
              </w:rPr>
              <w:t>2.00 (1.73–2.40)</w:t>
            </w:r>
          </w:p>
        </w:tc>
      </w:tr>
      <w:tr>
        <w:tc>
          <w:tcPr>
            <w:tcW w:type="dxa" w:w="3120"/>
          </w:tcPr>
          <w:p>
            <w:pPr>
              <w:spacing w:line="240" w:lineRule="auto"/>
            </w:pPr>
            <w:r/>
            <w:r>
              <w:rPr>
                <w:rFonts w:ascii="Times New Roman" w:hAnsi="Times New Roman"/>
                <w:sz w:val="18"/>
              </w:rPr>
              <w:t>Multifocal disease</w:t>
            </w:r>
          </w:p>
        </w:tc>
        <w:tc>
          <w:tcPr>
            <w:tcW w:type="dxa" w:w="3120"/>
          </w:tcPr>
          <w:p>
            <w:pPr>
              <w:spacing w:line="240" w:lineRule="auto"/>
            </w:pPr>
            <w:r/>
            <w:r>
              <w:rPr>
                <w:rFonts w:ascii="Times New Roman" w:hAnsi="Times New Roman"/>
                <w:sz w:val="18"/>
              </w:rPr>
              <w:t>14 (21.9%)</w:t>
            </w:r>
          </w:p>
        </w:tc>
        <w:tc>
          <w:tcPr>
            <w:tcW w:type="dxa" w:w="3120"/>
          </w:tcPr>
          <w:p>
            <w:pPr>
              <w:spacing w:line="240" w:lineRule="auto"/>
            </w:pPr>
            <w:r/>
            <w:r>
              <w:rPr>
                <w:rFonts w:ascii="Times New Roman" w:hAnsi="Times New Roman"/>
                <w:sz w:val="18"/>
              </w:rPr>
              <w:t>0 (0%)</w:t>
            </w:r>
          </w:p>
        </w:tc>
      </w:tr>
      <w:tr>
        <w:tc>
          <w:tcPr>
            <w:tcW w:type="dxa" w:w="3120"/>
          </w:tcPr>
          <w:p>
            <w:pPr>
              <w:spacing w:line="240" w:lineRule="auto"/>
            </w:pPr>
            <w:r/>
            <w:r>
              <w:rPr>
                <w:rFonts w:ascii="Times New Roman" w:hAnsi="Times New Roman"/>
                <w:sz w:val="18"/>
              </w:rPr>
              <w:t>Margin involved</w:t>
            </w:r>
          </w:p>
        </w:tc>
        <w:tc>
          <w:tcPr>
            <w:tcW w:type="dxa" w:w="3120"/>
          </w:tcPr>
          <w:p>
            <w:pPr>
              <w:spacing w:line="240" w:lineRule="auto"/>
            </w:pPr>
            <w:r/>
            <w:r>
              <w:rPr>
                <w:rFonts w:ascii="Times New Roman" w:hAnsi="Times New Roman"/>
                <w:sz w:val="18"/>
              </w:rPr>
              <w:t>12 (18.8%)</w:t>
            </w:r>
          </w:p>
        </w:tc>
        <w:tc>
          <w:tcPr>
            <w:tcW w:type="dxa" w:w="3120"/>
          </w:tcPr>
          <w:p>
            <w:pPr>
              <w:spacing w:line="240" w:lineRule="auto"/>
            </w:pPr>
            <w:r/>
            <w:r>
              <w:rPr>
                <w:rFonts w:ascii="Times New Roman" w:hAnsi="Times New Roman"/>
                <w:sz w:val="18"/>
              </w:rPr>
              <w:t>3 (75%)</w:t>
            </w:r>
          </w:p>
        </w:tc>
      </w:tr>
      <w:tr>
        <w:tc>
          <w:tcPr>
            <w:tcW w:type="dxa" w:w="3120"/>
          </w:tcPr>
          <w:p>
            <w:pPr>
              <w:spacing w:line="240" w:lineRule="auto"/>
            </w:pPr>
            <w:r/>
            <w:r>
              <w:rPr>
                <w:rFonts w:ascii="Times New Roman" w:hAnsi="Times New Roman"/>
                <w:sz w:val="18"/>
              </w:rPr>
              <w:t>AJCC N stage</w:t>
            </w:r>
          </w:p>
        </w:tc>
        <w:tc>
          <w:tcPr>
            <w:tcW w:type="dxa" w:w="3120"/>
          </w:tcPr>
          <w:p>
            <w:pPr>
              <w:spacing w:line="240" w:lineRule="auto"/>
            </w:pPr>
            <w:r/>
            <w:r>
              <w:rPr>
                <w:rFonts w:ascii="Times New Roman" w:hAnsi="Times New Roman"/>
                <w:sz w:val="18"/>
              </w:rPr>
            </w:r>
          </w:p>
        </w:tc>
        <w:tc>
          <w:tcPr>
            <w:tcW w:type="dxa" w:w="3120"/>
          </w:tcPr>
          <w:p>
            <w:pPr>
              <w:spacing w:line="240" w:lineRule="auto"/>
            </w:pPr>
            <w:r/>
            <w:r>
              <w:rPr>
                <w:rFonts w:ascii="Times New Roman" w:hAnsi="Times New Roman"/>
                <w:sz w:val="18"/>
              </w:rPr>
            </w:r>
          </w:p>
        </w:tc>
      </w:tr>
      <w:tr>
        <w:tc>
          <w:tcPr>
            <w:tcW w:type="dxa" w:w="3120"/>
          </w:tcPr>
          <w:p>
            <w:pPr>
              <w:spacing w:line="240" w:lineRule="auto"/>
            </w:pPr>
            <w:r/>
            <w:r>
              <w:rPr>
                <w:rFonts w:ascii="Times New Roman" w:hAnsi="Times New Roman"/>
                <w:sz w:val="18"/>
              </w:rPr>
              <w:t>N0</w:t>
            </w:r>
          </w:p>
        </w:tc>
        <w:tc>
          <w:tcPr>
            <w:tcW w:type="dxa" w:w="3120"/>
          </w:tcPr>
          <w:p>
            <w:pPr>
              <w:spacing w:line="240" w:lineRule="auto"/>
            </w:pPr>
            <w:r/>
            <w:r>
              <w:rPr>
                <w:rFonts w:ascii="Times New Roman" w:hAnsi="Times New Roman"/>
                <w:sz w:val="18"/>
              </w:rPr>
              <w:t>19 (29.7%)</w:t>
            </w:r>
          </w:p>
        </w:tc>
        <w:tc>
          <w:tcPr>
            <w:tcW w:type="dxa" w:w="3120"/>
          </w:tcPr>
          <w:p>
            <w:pPr>
              <w:spacing w:line="240" w:lineRule="auto"/>
            </w:pPr>
            <w:r/>
            <w:r>
              <w:rPr>
                <w:rFonts w:ascii="Times New Roman" w:hAnsi="Times New Roman"/>
                <w:sz w:val="18"/>
              </w:rPr>
              <w:t>1 (25%)</w:t>
            </w:r>
          </w:p>
        </w:tc>
      </w:tr>
      <w:tr>
        <w:tc>
          <w:tcPr>
            <w:tcW w:type="dxa" w:w="3120"/>
          </w:tcPr>
          <w:p>
            <w:pPr>
              <w:spacing w:line="240" w:lineRule="auto"/>
            </w:pPr>
            <w:r/>
            <w:r>
              <w:rPr>
                <w:rFonts w:ascii="Times New Roman" w:hAnsi="Times New Roman"/>
                <w:sz w:val="18"/>
              </w:rPr>
              <w:t>N1a</w:t>
            </w:r>
          </w:p>
        </w:tc>
        <w:tc>
          <w:tcPr>
            <w:tcW w:type="dxa" w:w="3120"/>
          </w:tcPr>
          <w:p>
            <w:pPr>
              <w:spacing w:line="240" w:lineRule="auto"/>
            </w:pPr>
            <w:r/>
            <w:r>
              <w:rPr>
                <w:rFonts w:ascii="Times New Roman" w:hAnsi="Times New Roman"/>
                <w:sz w:val="18"/>
              </w:rPr>
              <w:t>28 (43.8%)</w:t>
            </w:r>
          </w:p>
        </w:tc>
        <w:tc>
          <w:tcPr>
            <w:tcW w:type="dxa" w:w="3120"/>
          </w:tcPr>
          <w:p>
            <w:pPr>
              <w:spacing w:line="240" w:lineRule="auto"/>
            </w:pPr>
            <w:r/>
            <w:r>
              <w:rPr>
                <w:rFonts w:ascii="Times New Roman" w:hAnsi="Times New Roman"/>
                <w:sz w:val="18"/>
              </w:rPr>
              <w:t>3 (75%)</w:t>
            </w:r>
          </w:p>
        </w:tc>
      </w:tr>
      <w:tr>
        <w:tc>
          <w:tcPr>
            <w:tcW w:type="dxa" w:w="3120"/>
          </w:tcPr>
          <w:p>
            <w:pPr>
              <w:spacing w:line="240" w:lineRule="auto"/>
            </w:pPr>
            <w:r/>
            <w:r>
              <w:rPr>
                <w:rFonts w:ascii="Times New Roman" w:hAnsi="Times New Roman"/>
                <w:sz w:val="18"/>
              </w:rPr>
              <w:t>N1b</w:t>
            </w:r>
          </w:p>
        </w:tc>
        <w:tc>
          <w:tcPr>
            <w:tcW w:type="dxa" w:w="3120"/>
          </w:tcPr>
          <w:p>
            <w:pPr>
              <w:spacing w:line="240" w:lineRule="auto"/>
            </w:pPr>
            <w:r/>
            <w:r>
              <w:rPr>
                <w:rFonts w:ascii="Times New Roman" w:hAnsi="Times New Roman"/>
                <w:sz w:val="18"/>
              </w:rPr>
              <w:t>1 (1.6%)</w:t>
            </w:r>
          </w:p>
        </w:tc>
        <w:tc>
          <w:tcPr>
            <w:tcW w:type="dxa" w:w="3120"/>
          </w:tcPr>
          <w:p>
            <w:pPr>
              <w:spacing w:line="240" w:lineRule="auto"/>
            </w:pPr>
            <w:r/>
            <w:r>
              <w:rPr>
                <w:rFonts w:ascii="Times New Roman" w:hAnsi="Times New Roman"/>
                <w:sz w:val="18"/>
              </w:rPr>
              <w:t>0 (0%)</w:t>
            </w:r>
          </w:p>
        </w:tc>
      </w:tr>
      <w:tr>
        <w:tc>
          <w:tcPr>
            <w:tcW w:type="dxa" w:w="3120"/>
          </w:tcPr>
          <w:p>
            <w:pPr>
              <w:spacing w:line="240" w:lineRule="auto"/>
            </w:pPr>
            <w:r/>
            <w:r>
              <w:rPr>
                <w:rFonts w:ascii="Times New Roman" w:hAnsi="Times New Roman"/>
                <w:sz w:val="18"/>
              </w:rPr>
              <w:t>Nx</w:t>
            </w:r>
          </w:p>
        </w:tc>
        <w:tc>
          <w:tcPr>
            <w:tcW w:type="dxa" w:w="3120"/>
          </w:tcPr>
          <w:p>
            <w:pPr>
              <w:spacing w:line="240" w:lineRule="auto"/>
            </w:pPr>
            <w:r/>
            <w:r>
              <w:rPr>
                <w:rFonts w:ascii="Times New Roman" w:hAnsi="Times New Roman"/>
                <w:sz w:val="18"/>
              </w:rPr>
              <w:t>16 (25.0%)</w:t>
            </w:r>
          </w:p>
        </w:tc>
        <w:tc>
          <w:tcPr>
            <w:tcW w:type="dxa" w:w="3120"/>
          </w:tcPr>
          <w:p>
            <w:pPr>
              <w:spacing w:line="240" w:lineRule="auto"/>
            </w:pPr>
            <w:r/>
            <w:r>
              <w:rPr>
                <w:rFonts w:ascii="Times New Roman" w:hAnsi="Times New Roman"/>
                <w:sz w:val="18"/>
              </w:rPr>
              <w:t>0 (0%)</w:t>
            </w:r>
          </w:p>
        </w:tc>
      </w:tr>
      <w:tr>
        <w:tc>
          <w:tcPr>
            <w:tcW w:type="dxa" w:w="3120"/>
          </w:tcPr>
          <w:p>
            <w:pPr>
              <w:spacing w:line="240" w:lineRule="auto"/>
            </w:pPr>
            <w:r/>
            <w:r>
              <w:rPr>
                <w:rFonts w:ascii="Times New Roman" w:hAnsi="Times New Roman"/>
                <w:sz w:val="18"/>
              </w:rPr>
              <w:t>Lymph nodes</w:t>
            </w:r>
          </w:p>
        </w:tc>
        <w:tc>
          <w:tcPr>
            <w:tcW w:type="dxa" w:w="3120"/>
          </w:tcPr>
          <w:p>
            <w:pPr>
              <w:spacing w:line="240" w:lineRule="auto"/>
            </w:pPr>
            <w:r/>
            <w:r>
              <w:rPr>
                <w:rFonts w:ascii="Times New Roman" w:hAnsi="Times New Roman"/>
                <w:sz w:val="18"/>
              </w:rPr>
            </w:r>
          </w:p>
        </w:tc>
        <w:tc>
          <w:tcPr>
            <w:tcW w:type="dxa" w:w="3120"/>
          </w:tcPr>
          <w:p>
            <w:pPr>
              <w:spacing w:line="240" w:lineRule="auto"/>
            </w:pPr>
            <w:r/>
            <w:r>
              <w:rPr>
                <w:rFonts w:ascii="Times New Roman" w:hAnsi="Times New Roman"/>
                <w:sz w:val="18"/>
              </w:rPr>
            </w:r>
          </w:p>
        </w:tc>
      </w:tr>
      <w:tr>
        <w:tc>
          <w:tcPr>
            <w:tcW w:type="dxa" w:w="3120"/>
          </w:tcPr>
          <w:p>
            <w:pPr>
              <w:spacing w:line="240" w:lineRule="auto"/>
            </w:pPr>
            <w:r/>
            <w:r>
              <w:rPr>
                <w:rFonts w:ascii="Times New Roman" w:hAnsi="Times New Roman"/>
                <w:sz w:val="18"/>
              </w:rPr>
              <w:t>Central LN positive</w:t>
            </w:r>
          </w:p>
        </w:tc>
        <w:tc>
          <w:tcPr>
            <w:tcW w:type="dxa" w:w="3120"/>
          </w:tcPr>
          <w:p>
            <w:pPr>
              <w:spacing w:line="240" w:lineRule="auto"/>
            </w:pPr>
            <w:r/>
            <w:r>
              <w:rPr>
                <w:rFonts w:ascii="Times New Roman" w:hAnsi="Times New Roman"/>
                <w:sz w:val="18"/>
              </w:rPr>
              <w:t>7 (10.9%)</w:t>
            </w:r>
          </w:p>
        </w:tc>
        <w:tc>
          <w:tcPr>
            <w:tcW w:type="dxa" w:w="3120"/>
          </w:tcPr>
          <w:p>
            <w:pPr>
              <w:spacing w:line="240" w:lineRule="auto"/>
            </w:pPr>
            <w:r/>
            <w:r>
              <w:rPr>
                <w:rFonts w:ascii="Times New Roman" w:hAnsi="Times New Roman"/>
                <w:sz w:val="18"/>
              </w:rPr>
              <w:t>1 (25%)</w:t>
            </w:r>
          </w:p>
        </w:tc>
      </w:tr>
      <w:tr>
        <w:tc>
          <w:tcPr>
            <w:tcW w:type="dxa" w:w="3120"/>
          </w:tcPr>
          <w:p>
            <w:pPr>
              <w:spacing w:line="240" w:lineRule="auto"/>
            </w:pPr>
            <w:r/>
            <w:r>
              <w:rPr>
                <w:rFonts w:ascii="Times New Roman" w:hAnsi="Times New Roman"/>
                <w:sz w:val="18"/>
              </w:rPr>
              <w:t>Lateral LN positive</w:t>
            </w:r>
          </w:p>
        </w:tc>
        <w:tc>
          <w:tcPr>
            <w:tcW w:type="dxa" w:w="3120"/>
          </w:tcPr>
          <w:p>
            <w:pPr>
              <w:spacing w:line="240" w:lineRule="auto"/>
            </w:pPr>
            <w:r/>
            <w:r>
              <w:rPr>
                <w:rFonts w:ascii="Times New Roman" w:hAnsi="Times New Roman"/>
                <w:sz w:val="18"/>
              </w:rPr>
              <w:t>3 (4.7%)</w:t>
            </w:r>
          </w:p>
        </w:tc>
        <w:tc>
          <w:tcPr>
            <w:tcW w:type="dxa" w:w="3120"/>
          </w:tcPr>
          <w:p>
            <w:pPr>
              <w:spacing w:line="240" w:lineRule="auto"/>
            </w:pPr>
            <w:r/>
            <w:r>
              <w:rPr>
                <w:rFonts w:ascii="Times New Roman" w:hAnsi="Times New Roman"/>
                <w:sz w:val="18"/>
              </w:rPr>
              <w:t>1 (25%)</w:t>
            </w:r>
          </w:p>
        </w:tc>
      </w:tr>
      <w:tr>
        <w:tc>
          <w:tcPr>
            <w:tcW w:type="dxa" w:w="3120"/>
          </w:tcPr>
          <w:p>
            <w:pPr>
              <w:spacing w:line="240" w:lineRule="auto"/>
            </w:pPr>
            <w:r/>
            <w:r>
              <w:rPr>
                <w:rFonts w:ascii="Times New Roman" w:hAnsi="Times New Roman"/>
                <w:sz w:val="18"/>
              </w:rPr>
              <w:t>Treatment and re-operation</w:t>
            </w:r>
          </w:p>
        </w:tc>
        <w:tc>
          <w:tcPr>
            <w:tcW w:type="dxa" w:w="3120"/>
          </w:tcPr>
          <w:p>
            <w:pPr>
              <w:spacing w:line="240" w:lineRule="auto"/>
            </w:pPr>
            <w:r/>
            <w:r>
              <w:rPr>
                <w:rFonts w:ascii="Times New Roman" w:hAnsi="Times New Roman"/>
                <w:sz w:val="18"/>
              </w:rPr>
            </w:r>
          </w:p>
        </w:tc>
        <w:tc>
          <w:tcPr>
            <w:tcW w:type="dxa" w:w="3120"/>
          </w:tcPr>
          <w:p>
            <w:pPr>
              <w:spacing w:line="240" w:lineRule="auto"/>
            </w:pPr>
            <w:r/>
            <w:r>
              <w:rPr>
                <w:rFonts w:ascii="Times New Roman" w:hAnsi="Times New Roman"/>
                <w:sz w:val="18"/>
              </w:rPr>
            </w:r>
          </w:p>
        </w:tc>
      </w:tr>
      <w:tr>
        <w:tc>
          <w:tcPr>
            <w:tcW w:type="dxa" w:w="3120"/>
          </w:tcPr>
          <w:p>
            <w:pPr>
              <w:spacing w:line="240" w:lineRule="auto"/>
            </w:pPr>
            <w:r/>
            <w:r>
              <w:rPr>
                <w:rFonts w:ascii="Times New Roman" w:hAnsi="Times New Roman"/>
                <w:sz w:val="18"/>
              </w:rPr>
              <w:t>Total thyroidectomy</w:t>
            </w:r>
          </w:p>
        </w:tc>
        <w:tc>
          <w:tcPr>
            <w:tcW w:type="dxa" w:w="3120"/>
          </w:tcPr>
          <w:p>
            <w:pPr>
              <w:spacing w:line="240" w:lineRule="auto"/>
            </w:pPr>
            <w:r/>
            <w:r>
              <w:rPr>
                <w:rFonts w:ascii="Times New Roman" w:hAnsi="Times New Roman"/>
                <w:sz w:val="18"/>
              </w:rPr>
              <w:t>38 (59.4%)</w:t>
            </w:r>
          </w:p>
        </w:tc>
        <w:tc>
          <w:tcPr>
            <w:tcW w:type="dxa" w:w="3120"/>
          </w:tcPr>
          <w:p>
            <w:pPr>
              <w:spacing w:line="240" w:lineRule="auto"/>
            </w:pPr>
            <w:r/>
            <w:r>
              <w:rPr>
                <w:rFonts w:ascii="Times New Roman" w:hAnsi="Times New Roman"/>
                <w:sz w:val="18"/>
              </w:rPr>
              <w:t>1 (25%)</w:t>
            </w:r>
          </w:p>
        </w:tc>
      </w:tr>
      <w:tr>
        <w:tc>
          <w:tcPr>
            <w:tcW w:type="dxa" w:w="3120"/>
          </w:tcPr>
          <w:p>
            <w:pPr>
              <w:spacing w:line="240" w:lineRule="auto"/>
            </w:pPr>
            <w:r/>
            <w:r>
              <w:rPr>
                <w:rFonts w:ascii="Times New Roman" w:hAnsi="Times New Roman"/>
                <w:sz w:val="18"/>
              </w:rPr>
              <w:t>RAI received</w:t>
            </w:r>
          </w:p>
        </w:tc>
        <w:tc>
          <w:tcPr>
            <w:tcW w:type="dxa" w:w="3120"/>
          </w:tcPr>
          <w:p>
            <w:pPr>
              <w:spacing w:line="240" w:lineRule="auto"/>
            </w:pPr>
            <w:r/>
            <w:r>
              <w:rPr>
                <w:rFonts w:ascii="Times New Roman" w:hAnsi="Times New Roman"/>
                <w:sz w:val="18"/>
              </w:rPr>
              <w:t>10 (15.6%)</w:t>
            </w:r>
          </w:p>
        </w:tc>
        <w:tc>
          <w:tcPr>
            <w:tcW w:type="dxa" w:w="3120"/>
          </w:tcPr>
          <w:p>
            <w:pPr>
              <w:spacing w:line="240" w:lineRule="auto"/>
            </w:pPr>
            <w:r/>
            <w:r>
              <w:rPr>
                <w:rFonts w:ascii="Times New Roman" w:hAnsi="Times New Roman"/>
                <w:sz w:val="18"/>
              </w:rPr>
              <w:t>3 (75%)</w:t>
            </w:r>
          </w:p>
        </w:tc>
      </w:tr>
      <w:tr>
        <w:tc>
          <w:tcPr>
            <w:tcW w:type="dxa" w:w="3120"/>
          </w:tcPr>
          <w:p>
            <w:pPr>
              <w:spacing w:line="240" w:lineRule="auto"/>
            </w:pPr>
            <w:r/>
            <w:r>
              <w:rPr>
                <w:rFonts w:ascii="Times New Roman" w:hAnsi="Times New Roman"/>
                <w:sz w:val="18"/>
              </w:rPr>
              <w:t>≥2 surgeries</w:t>
            </w:r>
          </w:p>
        </w:tc>
        <w:tc>
          <w:tcPr>
            <w:tcW w:type="dxa" w:w="3120"/>
          </w:tcPr>
          <w:p>
            <w:pPr>
              <w:spacing w:line="240" w:lineRule="auto"/>
            </w:pPr>
            <w:r/>
            <w:r>
              <w:rPr>
                <w:rFonts w:ascii="Times New Roman" w:hAnsi="Times New Roman"/>
                <w:sz w:val="18"/>
              </w:rPr>
              <w:t>14 (21.9%)</w:t>
            </w:r>
          </w:p>
        </w:tc>
        <w:tc>
          <w:tcPr>
            <w:tcW w:type="dxa" w:w="3120"/>
          </w:tcPr>
          <w:p>
            <w:pPr>
              <w:spacing w:line="240" w:lineRule="auto"/>
            </w:pPr>
            <w:r/>
            <w:r>
              <w:rPr>
                <w:rFonts w:ascii="Times New Roman" w:hAnsi="Times New Roman"/>
                <w:sz w:val="18"/>
              </w:rPr>
              <w:t>4 (100%)</w:t>
            </w:r>
          </w:p>
        </w:tc>
      </w:tr>
      <w:tr>
        <w:tc>
          <w:tcPr>
            <w:tcW w:type="dxa" w:w="3120"/>
          </w:tcPr>
          <w:p>
            <w:pPr>
              <w:spacing w:line="240" w:lineRule="auto"/>
            </w:pPr>
            <w:r/>
            <w:r>
              <w:rPr>
                <w:rFonts w:ascii="Times New Roman" w:hAnsi="Times New Roman"/>
                <w:sz w:val="18"/>
              </w:rPr>
              <w:t>Days first→second surgery, median (IQR)</w:t>
            </w:r>
          </w:p>
        </w:tc>
        <w:tc>
          <w:tcPr>
            <w:tcW w:type="dxa" w:w="3120"/>
          </w:tcPr>
          <w:p>
            <w:pPr>
              <w:spacing w:line="240" w:lineRule="auto"/>
            </w:pPr>
            <w:r/>
            <w:r>
              <w:rPr>
                <w:rFonts w:ascii="Times New Roman" w:hAnsi="Times New Roman"/>
                <w:sz w:val="18"/>
              </w:rPr>
              <w:t>116.5 (49.5–241.8)</w:t>
            </w:r>
          </w:p>
        </w:tc>
        <w:tc>
          <w:tcPr>
            <w:tcW w:type="dxa" w:w="3120"/>
          </w:tcPr>
          <w:p>
            <w:pPr>
              <w:spacing w:line="240" w:lineRule="auto"/>
            </w:pPr>
            <w:r/>
            <w:r>
              <w:rPr>
                <w:rFonts w:ascii="Times New Roman" w:hAnsi="Times New Roman"/>
                <w:sz w:val="18"/>
              </w:rPr>
              <w:t>629.5 (366.8–1,050.5)</w:t>
            </w:r>
          </w:p>
        </w:tc>
      </w:tr>
      <w:tr>
        <w:tc>
          <w:tcPr>
            <w:tcW w:type="dxa" w:w="3120"/>
          </w:tcPr>
          <w:p>
            <w:pPr>
              <w:spacing w:line="240" w:lineRule="auto"/>
            </w:pPr>
            <w:r/>
            <w:r>
              <w:rPr>
                <w:rFonts w:ascii="Times New Roman" w:hAnsi="Times New Roman"/>
                <w:sz w:val="18"/>
              </w:rPr>
              <w:t>Risk score and follow-up</w:t>
            </w:r>
          </w:p>
        </w:tc>
        <w:tc>
          <w:tcPr>
            <w:tcW w:type="dxa" w:w="3120"/>
          </w:tcPr>
          <w:p>
            <w:pPr>
              <w:spacing w:line="240" w:lineRule="auto"/>
            </w:pPr>
            <w:r/>
            <w:r>
              <w:rPr>
                <w:rFonts w:ascii="Times New Roman" w:hAnsi="Times New Roman"/>
                <w:sz w:val="18"/>
              </w:rPr>
            </w:r>
          </w:p>
        </w:tc>
        <w:tc>
          <w:tcPr>
            <w:tcW w:type="dxa" w:w="3120"/>
          </w:tcPr>
          <w:p>
            <w:pPr>
              <w:spacing w:line="240" w:lineRule="auto"/>
            </w:pPr>
            <w:r/>
            <w:r>
              <w:rPr>
                <w:rFonts w:ascii="Times New Roman" w:hAnsi="Times New Roman"/>
                <w:sz w:val="18"/>
              </w:rPr>
            </w:r>
          </w:p>
        </w:tc>
      </w:tr>
      <w:tr>
        <w:tc>
          <w:tcPr>
            <w:tcW w:type="dxa" w:w="3120"/>
          </w:tcPr>
          <w:p>
            <w:pPr>
              <w:spacing w:line="240" w:lineRule="auto"/>
            </w:pPr>
            <w:r/>
            <w:r>
              <w:rPr>
                <w:rFonts w:ascii="Times New Roman" w:hAnsi="Times New Roman"/>
                <w:sz w:val="18"/>
              </w:rPr>
              <w:t>AGES score, median (IQR)</w:t>
            </w:r>
          </w:p>
        </w:tc>
        <w:tc>
          <w:tcPr>
            <w:tcW w:type="dxa" w:w="3120"/>
          </w:tcPr>
          <w:p>
            <w:pPr>
              <w:spacing w:line="240" w:lineRule="auto"/>
            </w:pPr>
            <w:r/>
            <w:r>
              <w:rPr>
                <w:rFonts w:ascii="Times New Roman" w:hAnsi="Times New Roman"/>
                <w:sz w:val="18"/>
              </w:rPr>
              <w:t>5.86 (3.00–7.15)</w:t>
            </w:r>
          </w:p>
        </w:tc>
        <w:tc>
          <w:tcPr>
            <w:tcW w:type="dxa" w:w="3120"/>
          </w:tcPr>
          <w:p>
            <w:pPr>
              <w:spacing w:line="240" w:lineRule="auto"/>
            </w:pPr>
            <w:r/>
            <w:r>
              <w:rPr>
                <w:rFonts w:ascii="Times New Roman" w:hAnsi="Times New Roman"/>
                <w:sz w:val="18"/>
              </w:rPr>
              <w:t>8.90 (7.72–9.98)</w:t>
            </w:r>
          </w:p>
        </w:tc>
      </w:tr>
      <w:tr>
        <w:tc>
          <w:tcPr>
            <w:tcW w:type="dxa" w:w="3120"/>
          </w:tcPr>
          <w:p>
            <w:pPr>
              <w:spacing w:line="240" w:lineRule="auto"/>
            </w:pPr>
            <w:r/>
            <w:r>
              <w:rPr>
                <w:rFonts w:ascii="Times New Roman" w:hAnsi="Times New Roman"/>
                <w:sz w:val="18"/>
              </w:rPr>
              <w:t>Follow-up, y, median (IQR)</w:t>
            </w:r>
          </w:p>
        </w:tc>
        <w:tc>
          <w:tcPr>
            <w:tcW w:type="dxa" w:w="3120"/>
          </w:tcPr>
          <w:p>
            <w:pPr>
              <w:spacing w:line="240" w:lineRule="auto"/>
            </w:pPr>
            <w:r/>
            <w:r>
              <w:rPr>
                <w:rFonts w:ascii="Times New Roman" w:hAnsi="Times New Roman"/>
                <w:sz w:val="18"/>
              </w:rPr>
              <w:t>1.20 (0.00–5.91)</w:t>
            </w:r>
          </w:p>
        </w:tc>
        <w:tc>
          <w:tcPr>
            <w:tcW w:type="dxa" w:w="3120"/>
          </w:tcPr>
          <w:p>
            <w:pPr>
              <w:spacing w:line="240" w:lineRule="auto"/>
            </w:pPr>
            <w:r/>
            <w:r>
              <w:rPr>
                <w:rFonts w:ascii="Times New Roman" w:hAnsi="Times New Roman"/>
                <w:sz w:val="18"/>
              </w:rPr>
              <w:t>9.68 (4.53–13.84)</w:t>
            </w:r>
          </w:p>
        </w:tc>
      </w:tr>
      <w:tr>
        <w:tc>
          <w:tcPr>
            <w:tcW w:type="dxa" w:w="3120"/>
          </w:tcPr>
          <w:p>
            <w:pPr>
              <w:spacing w:line="240" w:lineRule="auto"/>
            </w:pPr>
            <w:r/>
            <w:r>
              <w:rPr>
                <w:rFonts w:ascii="Times New Roman" w:hAnsi="Times New Roman"/>
                <w:sz w:val="18"/>
              </w:rPr>
              <w:t>Recurrence detail</w:t>
            </w:r>
          </w:p>
        </w:tc>
        <w:tc>
          <w:tcPr>
            <w:tcW w:type="dxa" w:w="3120"/>
          </w:tcPr>
          <w:p>
            <w:pPr>
              <w:spacing w:line="240" w:lineRule="auto"/>
            </w:pPr>
            <w:r/>
            <w:r>
              <w:rPr>
                <w:rFonts w:ascii="Times New Roman" w:hAnsi="Times New Roman"/>
                <w:sz w:val="18"/>
              </w:rPr>
            </w:r>
          </w:p>
        </w:tc>
        <w:tc>
          <w:tcPr>
            <w:tcW w:type="dxa" w:w="3120"/>
          </w:tcPr>
          <w:p>
            <w:pPr>
              <w:spacing w:line="240" w:lineRule="auto"/>
            </w:pPr>
            <w:r/>
            <w:r>
              <w:rPr>
                <w:rFonts w:ascii="Times New Roman" w:hAnsi="Times New Roman"/>
                <w:sz w:val="18"/>
              </w:rPr>
            </w:r>
          </w:p>
        </w:tc>
      </w:tr>
      <w:tr>
        <w:tc>
          <w:tcPr>
            <w:tcW w:type="dxa" w:w="3120"/>
          </w:tcPr>
          <w:p>
            <w:pPr>
              <w:spacing w:line="240" w:lineRule="auto"/>
            </w:pPr>
            <w:r/>
            <w:r>
              <w:rPr>
                <w:rFonts w:ascii="Times New Roman" w:hAnsi="Times New Roman"/>
                <w:sz w:val="18"/>
              </w:rPr>
              <w:t>Path-proven</w:t>
            </w:r>
          </w:p>
        </w:tc>
        <w:tc>
          <w:tcPr>
            <w:tcW w:type="dxa" w:w="3120"/>
          </w:tcPr>
          <w:p>
            <w:pPr>
              <w:spacing w:line="240" w:lineRule="auto"/>
            </w:pPr>
            <w:r/>
            <w:r>
              <w:rPr>
                <w:rFonts w:ascii="Times New Roman" w:hAnsi="Times New Roman"/>
                <w:sz w:val="18"/>
              </w:rPr>
              <w:t>—</w:t>
            </w:r>
          </w:p>
        </w:tc>
        <w:tc>
          <w:tcPr>
            <w:tcW w:type="dxa" w:w="3120"/>
          </w:tcPr>
          <w:p>
            <w:pPr>
              <w:spacing w:line="240" w:lineRule="auto"/>
            </w:pPr>
            <w:r/>
            <w:r>
              <w:rPr>
                <w:rFonts w:ascii="Times New Roman" w:hAnsi="Times New Roman"/>
                <w:sz w:val="18"/>
              </w:rPr>
              <w:t>3</w:t>
            </w:r>
          </w:p>
        </w:tc>
      </w:tr>
      <w:tr>
        <w:tc>
          <w:tcPr>
            <w:tcW w:type="dxa" w:w="3120"/>
          </w:tcPr>
          <w:p>
            <w:pPr>
              <w:spacing w:line="240" w:lineRule="auto"/>
            </w:pPr>
            <w:r/>
            <w:r>
              <w:rPr>
                <w:rFonts w:ascii="Times New Roman" w:hAnsi="Times New Roman"/>
                <w:sz w:val="18"/>
              </w:rPr>
              <w:t>Imaging-only unconfirmed</w:t>
            </w:r>
          </w:p>
        </w:tc>
        <w:tc>
          <w:tcPr>
            <w:tcW w:type="dxa" w:w="3120"/>
          </w:tcPr>
          <w:p>
            <w:pPr>
              <w:spacing w:line="240" w:lineRule="auto"/>
            </w:pPr>
            <w:r/>
            <w:r>
              <w:rPr>
                <w:rFonts w:ascii="Times New Roman" w:hAnsi="Times New Roman"/>
                <w:sz w:val="18"/>
              </w:rPr>
              <w:t>—</w:t>
            </w:r>
          </w:p>
        </w:tc>
        <w:tc>
          <w:tcPr>
            <w:tcW w:type="dxa" w:w="3120"/>
          </w:tcPr>
          <w:p>
            <w:pPr>
              <w:spacing w:line="240" w:lineRule="auto"/>
            </w:pPr>
            <w:r/>
            <w:r>
              <w:rPr>
                <w:rFonts w:ascii="Times New Roman" w:hAnsi="Times New Roman"/>
                <w:sz w:val="18"/>
              </w:rPr>
              <w:t>1</w:t>
            </w:r>
          </w:p>
        </w:tc>
      </w:tr>
    </w:tbl>
    <w:p>
      <w:pPr>
        <w:spacing w:line="240" w:lineRule="auto"/>
      </w:pPr>
      <w:r>
        <w:rPr>
          <w:rFonts w:ascii="Times New Roman" w:hAnsi="Times New Roman"/>
          <w:b w:val="0"/>
          <w:i/>
          <w:sz w:val="24"/>
        </w:rPr>
        <w:t>Composite recurrence = path-proven OR imaging-only-unconfirmed. The audit shows that the four composite-recurrent no/negative patients differ systematically from the 64 non-recurrent no/negative patients in features that increase opportunity for surveillance, tissue sampling, and pathologic confirmation, supporting framing of the no/negative ETE group as a confounded comparator rather than a clean biologic reference.</w:t>
      </w:r>
    </w:p>
    <w:p>
      <w:r>
        <w:br w:type="page"/>
      </w:r>
    </w:p>
    <w:p/>
    <w:p>
      <w:pPr>
        <w:pStyle w:val="Heading1"/>
      </w:pPr>
      <w:r>
        <w:rPr>
          <w:rFonts w:ascii="Times New Roman" w:hAnsi="Times New Roman"/>
          <w:color w:val="000000"/>
        </w:rPr>
        <w:t>Figure Legends</w:t>
      </w:r>
    </w:p>
    <w:p>
      <w:r>
        <w:rPr>
          <w:rFonts w:ascii="Times New Roman" w:hAnsi="Times New Roman"/>
          <w:b w:val="0"/>
          <w:i w:val="0"/>
          <w:sz w:val="24"/>
        </w:rPr>
        <w:t>Figure 1. CONSORT-style cohort flow diagram. Parent M044 cohort (n = 4,128) underwent sequential exclusions for non-DTC histology (n = 342), metastatic-only or recurrent-only presentations (n = 175), and ETE grade missing, ungraded, or unclassifiable (n = 33), yielding the strict-DTC analytic cohort (n = 3,578; path-proven events = 105). ETE groups were no/negative ETE (n = 68; 3 path-proven events), microscopic ETE (n = 2,359; 45 events), and gross ETE (n = 1,151; 57 events). The primary regression frame included 3,572 patients after excluding six patients with missing tumor size. The primary endpoint was path-proven structural recurrence confirmed by biopsy, operative pathology, or cytology.</w:t>
      </w:r>
    </w:p>
    <w:p>
      <w:r>
        <w:rPr>
          <w:rFonts w:ascii="Times New Roman" w:hAnsi="Times New Roman"/>
          <w:b w:val="0"/>
          <w:i w:val="0"/>
          <w:sz w:val="24"/>
        </w:rPr>
        <w:t>Figure 2. Crude recurrence rates by ETE group. Bars show crude recurrence proportions for the primary endpoint (path-proven structural recurrence) and the descriptive composite endpoint (path-proven or imaging-only unconfirmed recurrence). Path-proven recurrence rates were 4.4 % for no/negative ETE, 1.9 % for microscopic ETE, and 5.0 % for gross ETE. Composite recurrence rates were 5.9 %, 4.9 %, and 10.5 %, respectively.</w:t>
      </w:r>
    </w:p>
    <w:p>
      <w:r>
        <w:rPr>
          <w:rFonts w:ascii="Times New Roman" w:hAnsi="Times New Roman"/>
          <w:b w:val="0"/>
          <w:i w:val="0"/>
          <w:sz w:val="24"/>
        </w:rPr>
        <w:t>Figure 3. Forest plot of gross-vs-microscopic ETE odds ratios across model specifications. Models displayed are crude ETE-only, primary no-RAI multivariable model, +RAI sensitivity, +BRAF/TERT sensitivity, +LN topography exploratory model, ETE × lymph-node interaction, PTC-only restriction, composite-LVI model, follow-up &gt; 0 years sensitivity, and follow-up ≥ 1 year sensitivity. The vertical dashed line marks OR = 1.0. Values greater than 1 favor higher recurrence odds with gross ETE relative to microscopic ETE. Boxes are point estimates; horizontal lines are 95 % confidence intervals.</w:t>
      </w:r>
    </w:p>
    <w:p>
      <w:r>
        <w:br w:type="page"/>
      </w:r>
    </w:p>
    <w:p/>
    <w:p>
      <w:pPr>
        <w:pStyle w:val="Heading1"/>
      </w:pPr>
      <w:r>
        <w:rPr>
          <w:rFonts w:ascii="Times New Roman" w:hAnsi="Times New Roman"/>
          <w:color w:val="000000"/>
        </w:rPr>
        <w:t>Supplemental Materials Outline</w:t>
      </w:r>
    </w:p>
    <w:p>
      <w:pPr>
        <w:spacing w:line="240" w:lineRule="auto"/>
      </w:pPr>
      <w:r>
        <w:rPr>
          <w:rFonts w:ascii="Times New Roman" w:hAnsi="Times New Roman"/>
          <w:b w:val="0"/>
          <w:i w:val="0"/>
          <w:sz w:val="24"/>
        </w:rPr>
        <w:t>eMethods 1. Cohort construction and strict-DTC lock; parent cohort, sequential exclusions, ETE-group derivation, software stack.</w:t>
      </w:r>
    </w:p>
    <w:p>
      <w:pPr>
        <w:spacing w:line="240" w:lineRule="auto"/>
      </w:pPr>
      <w:r>
        <w:rPr>
          <w:rFonts w:ascii="Times New Roman" w:hAnsi="Times New Roman"/>
          <w:b w:val="0"/>
          <w:i w:val="0"/>
          <w:sz w:val="24"/>
        </w:rPr>
        <w:t>eMethods 2. Recurrence endpoint adjudication; canonical resolved-recurrence schema and dual-track design.</w:t>
      </w:r>
    </w:p>
    <w:p>
      <w:pPr>
        <w:spacing w:line="240" w:lineRule="auto"/>
      </w:pPr>
      <w:r>
        <w:rPr>
          <w:rFonts w:ascii="Times New Roman" w:hAnsi="Times New Roman"/>
          <w:b w:val="0"/>
          <w:i w:val="0"/>
          <w:sz w:val="24"/>
        </w:rPr>
        <w:t>eMethods 3. Regression modeling; covariate set, complete-case frame, missing/indeterminate categories, quasi-separation handling.</w:t>
      </w:r>
    </w:p>
    <w:p>
      <w:pPr>
        <w:spacing w:line="240" w:lineRule="auto"/>
      </w:pPr>
      <w:r>
        <w:rPr>
          <w:rFonts w:ascii="Times New Roman" w:hAnsi="Times New Roman"/>
          <w:b w:val="0"/>
          <w:i w:val="0"/>
          <w:sz w:val="24"/>
        </w:rPr>
        <w:t>eMethods 4. No/negative ETE audit rationale.</w:t>
      </w:r>
    </w:p>
    <w:p>
      <w:pPr>
        <w:spacing w:line="240" w:lineRule="auto"/>
      </w:pPr>
      <w:r>
        <w:rPr>
          <w:rFonts w:ascii="Times New Roman" w:hAnsi="Times New Roman"/>
          <w:b w:val="0"/>
          <w:i w:val="0"/>
          <w:sz w:val="24"/>
        </w:rPr>
        <w:t>eFigure 1. CONSORT-style cohort flow diagram.</w:t>
      </w:r>
    </w:p>
    <w:p>
      <w:pPr>
        <w:spacing w:line="240" w:lineRule="auto"/>
      </w:pPr>
      <w:r>
        <w:rPr>
          <w:rFonts w:ascii="Times New Roman" w:hAnsi="Times New Roman"/>
          <w:b w:val="0"/>
          <w:i w:val="0"/>
          <w:sz w:val="24"/>
        </w:rPr>
        <w:t>eFigure 2. Forest plot of gross-vs-microscopic ETE odds ratios across all model specifications.</w:t>
      </w:r>
    </w:p>
    <w:p>
      <w:pPr>
        <w:spacing w:line="240" w:lineRule="auto"/>
      </w:pPr>
      <w:r>
        <w:rPr>
          <w:rFonts w:ascii="Times New Roman" w:hAnsi="Times New Roman"/>
          <w:b w:val="0"/>
          <w:i w:val="0"/>
          <w:sz w:val="24"/>
        </w:rPr>
        <w:t>eFigure 3. Directed acyclic graph for ETE, treatment selection, nodal burden, LVI, surveillance intensity, and observed recurrence.</w:t>
      </w:r>
    </w:p>
    <w:p>
      <w:pPr>
        <w:spacing w:line="240" w:lineRule="auto"/>
      </w:pPr>
      <w:r>
        <w:rPr>
          <w:rFonts w:ascii="Times New Roman" w:hAnsi="Times New Roman"/>
          <w:b w:val="0"/>
          <w:i w:val="0"/>
          <w:sz w:val="24"/>
        </w:rPr>
        <w:t>eTable 1. Expanded baseline characteristics by ETE group, including race, BMI, T stage, stage group, molecular markers, AGES score, and death (descriptive).</w:t>
      </w:r>
    </w:p>
    <w:p>
      <w:pPr>
        <w:spacing w:line="240" w:lineRule="auto"/>
      </w:pPr>
      <w:r>
        <w:rPr>
          <w:rFonts w:ascii="Times New Roman" w:hAnsi="Times New Roman"/>
          <w:b w:val="0"/>
          <w:i w:val="0"/>
          <w:sz w:val="24"/>
        </w:rPr>
        <w:t>eTable 2. Follow-up distribution by ETE group and recurrence status, including zero-follow-up counts.</w:t>
      </w:r>
    </w:p>
    <w:p>
      <w:pPr>
        <w:spacing w:line="240" w:lineRule="auto"/>
      </w:pPr>
      <w:r>
        <w:rPr>
          <w:rFonts w:ascii="Times New Roman" w:hAnsi="Times New Roman"/>
          <w:b w:val="0"/>
          <w:i w:val="0"/>
          <w:sz w:val="24"/>
        </w:rPr>
        <w:t>eTable 3. Full primary multivariable logistic-regression output.</w:t>
      </w:r>
    </w:p>
    <w:p>
      <w:pPr>
        <w:spacing w:line="240" w:lineRule="auto"/>
      </w:pPr>
      <w:r>
        <w:rPr>
          <w:rFonts w:ascii="Times New Roman" w:hAnsi="Times New Roman"/>
          <w:b w:val="0"/>
          <w:i w:val="0"/>
          <w:sz w:val="24"/>
        </w:rPr>
        <w:t>eTable 4. Prespecified sensitivity models — crude, primary, +RAI, +BRAF/TERT — full coefficient output.</w:t>
      </w:r>
    </w:p>
    <w:p>
      <w:pPr>
        <w:spacing w:line="240" w:lineRule="auto"/>
      </w:pPr>
      <w:r>
        <w:rPr>
          <w:rFonts w:ascii="Times New Roman" w:hAnsi="Times New Roman"/>
          <w:b w:val="0"/>
          <w:i w:val="0"/>
          <w:sz w:val="24"/>
        </w:rPr>
        <w:t>eTable 5. Exploratory regression models — +LN topography, ETE × LN-burden interaction, PTC-only, composite-LVI — full coefficient output.</w:t>
      </w:r>
    </w:p>
    <w:p>
      <w:pPr>
        <w:spacing w:line="240" w:lineRule="auto"/>
      </w:pPr>
      <w:r>
        <w:rPr>
          <w:rFonts w:ascii="Times New Roman" w:hAnsi="Times New Roman"/>
          <w:b w:val="0"/>
          <w:i w:val="0"/>
          <w:sz w:val="24"/>
        </w:rPr>
        <w:t>eTable 6. Histology-restricted and histology-stratified analyses.</w:t>
      </w:r>
    </w:p>
    <w:p>
      <w:pPr>
        <w:spacing w:line="240" w:lineRule="auto"/>
      </w:pPr>
      <w:r>
        <w:rPr>
          <w:rFonts w:ascii="Times New Roman" w:hAnsi="Times New Roman"/>
          <w:b w:val="0"/>
          <w:i w:val="0"/>
          <w:sz w:val="24"/>
        </w:rPr>
        <w:t>eTable 7. N-stage subgroup analyses.</w:t>
      </w:r>
    </w:p>
    <w:p>
      <w:pPr>
        <w:spacing w:line="240" w:lineRule="auto"/>
      </w:pPr>
      <w:r>
        <w:rPr>
          <w:rFonts w:ascii="Times New Roman" w:hAnsi="Times New Roman"/>
          <w:b w:val="0"/>
          <w:i w:val="0"/>
          <w:sz w:val="24"/>
        </w:rPr>
        <w:t>eTable 8. Lymphatic and vascular invasion cross-tabulation by ETE group.</w:t>
      </w:r>
    </w:p>
    <w:p>
      <w:pPr>
        <w:spacing w:line="240" w:lineRule="auto"/>
      </w:pPr>
      <w:r>
        <w:rPr>
          <w:rFonts w:ascii="Times New Roman" w:hAnsi="Times New Roman"/>
          <w:b w:val="0"/>
          <w:i w:val="0"/>
          <w:sz w:val="24"/>
        </w:rPr>
        <w:t>eTable 9. Lymph-node burden and topography by ETE group and recurrence status.</w:t>
      </w:r>
    </w:p>
    <w:p>
      <w:pPr>
        <w:spacing w:line="240" w:lineRule="auto"/>
      </w:pPr>
      <w:r>
        <w:rPr>
          <w:rFonts w:ascii="Times New Roman" w:hAnsi="Times New Roman"/>
          <w:b w:val="0"/>
          <w:i w:val="0"/>
          <w:sz w:val="24"/>
        </w:rPr>
        <w:t>eTable 10. No/negative ETE audit: row-by-row recurrent vs non-recurrent comparison plus de-identified case profiles for the three path-proven events.</w:t>
      </w:r>
    </w:p>
    <w:p>
      <w:pPr>
        <w:spacing w:line="240" w:lineRule="auto"/>
      </w:pPr>
      <w:r>
        <w:rPr>
          <w:rFonts w:ascii="Times New Roman" w:hAnsi="Times New Roman"/>
          <w:b w:val="0"/>
          <w:i w:val="0"/>
          <w:sz w:val="24"/>
        </w:rPr>
        <w:t>eTable 11. Missingness and quasi-separation audit.</w:t>
      </w:r>
    </w:p>
    <w:p>
      <w:pPr>
        <w:spacing w:line="240" w:lineRule="auto"/>
      </w:pPr>
      <w:r>
        <w:rPr>
          <w:rFonts w:ascii="Times New Roman" w:hAnsi="Times New Roman"/>
          <w:b w:val="0"/>
          <w:i w:val="0"/>
          <w:sz w:val="24"/>
        </w:rPr>
        <w:t>eTable 12. Sensitivity analysis excluding zero-follow-up patients (full coefficient output) and the more restrictive follow-up ≥ 1 year analysis.</w:t>
      </w:r>
    </w:p>
    <w:sectPr w:rsidR="00FC693F" w:rsidRPr="0006063C" w:rsidSect="00034616">
      <w:pgSz w:w="12240" w:h="15840"/>
      <w:pgMar w:top="1440" w:right="1440" w:bottom="1440" w:left="1440" w:header="720" w:footer="720" w:gutter="0"/>
      <w:cols w:space="720"/>
      <w:docGrid w:linePitch="360"/>
      <w:lnNumType w:countBy="1" w:start="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