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Gross, but Not Microscopic, Extrathyroidal Extension Is Associated with Path-Proven Recurrence in Differentiated Thyroid Cancer: A Strict-Cohort Retrospective Study</w:t>
      </w:r>
    </w:p>
    <w:p>
      <w:r>
        <w:rPr>
          <w:rFonts w:ascii="Times New Roman" w:hAnsi="Times New Roman"/>
          <w:b w:val="0"/>
          <w:i/>
          <w:sz w:val="22"/>
        </w:rPr>
        <w:t>Running title: Gross vs Microscopic ETE in DTC</w:t>
      </w:r>
    </w:p>
    <w:p>
      <w:r>
        <w:rPr>
          <w:rFonts w:ascii="Times New Roman" w:hAnsi="Times New Roman"/>
          <w:b w:val="0"/>
          <w:i w:val="0"/>
          <w:sz w:val="22"/>
        </w:rPr>
        <w:t>Article type: Original Study</w:t>
      </w:r>
    </w:p>
    <w:p>
      <w:r>
        <w:rPr>
          <w:rFonts w:ascii="Times New Roman" w:hAnsi="Times New Roman"/>
          <w:b w:val="0"/>
          <w:i w:val="0"/>
          <w:sz w:val="22"/>
        </w:rPr>
        <w:t>Authors: [Insert author names and degrees]</w:t>
      </w:r>
    </w:p>
    <w:p>
      <w:r>
        <w:rPr>
          <w:rFonts w:ascii="Times New Roman" w:hAnsi="Times New Roman"/>
          <w:b w:val="0"/>
          <w:i w:val="0"/>
          <w:sz w:val="22"/>
        </w:rPr>
        <w:t>Affiliations: [Insert institutional affiliations]</w:t>
      </w:r>
    </w:p>
    <w:p>
      <w:r>
        <w:rPr>
          <w:rFonts w:ascii="Times New Roman" w:hAnsi="Times New Roman"/>
          <w:b w:val="0"/>
          <w:i w:val="0"/>
          <w:sz w:val="22"/>
        </w:rPr>
        <w:t>Corresponding author: [Name, postal address, email, telephone]</w:t>
      </w:r>
    </w:p>
    <w:p>
      <w:r>
        <w:rPr>
          <w:rFonts w:ascii="Times New Roman" w:hAnsi="Times New Roman"/>
          <w:b w:val="0"/>
          <w:i w:val="0"/>
          <w:sz w:val="22"/>
        </w:rPr>
        <w:t>Keywords: differentiated thyroid cancer; extrathyroidal extension; microscopic extrathyroidal extension; AJCC eighth edition; recurrence; lymphovascular invasion; computed tomography; pathology</w:t>
      </w:r>
    </w:p>
    <w:p>
      <w:pPr>
        <w:pStyle w:val="Heading1"/>
      </w:pPr>
      <w:r>
        <w:rPr>
          <w:rFonts w:ascii="Times New Roman" w:hAnsi="Times New Roman"/>
          <w:color w:val="000000"/>
        </w:rPr>
        <w:t>Abstract</w:t>
      </w:r>
    </w:p>
    <w:p>
      <w:r>
        <w:rPr>
          <w:rFonts w:ascii="Times New Roman" w:hAnsi="Times New Roman"/>
          <w:b/>
          <w:sz w:val="22"/>
        </w:rPr>
        <w:t xml:space="preserve">Background. </w:t>
      </w:r>
      <w:r>
        <w:rPr>
          <w:rFonts w:ascii="Times New Roman" w:hAnsi="Times New Roman"/>
          <w:sz w:val="22"/>
        </w:rPr>
        <w:t>The eighth edition of the American Joint Committee on Cancer (AJCC) staging system removed microscopic extrathyroidal extension (ETE) from T3 upstaging while retaining gross ETE as an adverse anatomic feature. Whether microscopic and gross ETE should be treated similarly for recurrence-risk assessment remains debated.</w:t>
      </w:r>
    </w:p>
    <w:p>
      <w:r>
        <w:rPr>
          <w:rFonts w:ascii="Times New Roman" w:hAnsi="Times New Roman"/>
          <w:b/>
          <w:sz w:val="22"/>
        </w:rPr>
        <w:t xml:space="preserve">Methods. </w:t>
      </w:r>
      <w:r>
        <w:rPr>
          <w:rFonts w:ascii="Times New Roman" w:hAnsi="Times New Roman"/>
          <w:sz w:val="22"/>
        </w:rPr>
        <w:t>We performed a single-institution retrospective cohort study of a locked, strict differentiated thyroid cancer (DTC) cohort. ETE was classified as no/negative, microscopic, or gross from pathology-derived fields. The primary endpoint was path-proven structural recurrence. Multivariable logistic regression estimated odds ratios (ORs) for recurrence using microscopic ETE as the reference, adjusting for age, sex, log-transformed tumor size, AJCC eighth-edition N stage, five-level histology, and separate five-level lymphatic and vascular invasion categories. Prespecified sensitivity models added radioactive iodine (RAI) and BRAF/TERT status. Exploratory analyses added lymph-node topography, restricted the cohort to papillary thyroid carcinoma (PTC), substituted a composite lymphovascular-invasion (LVI) flag, and excluded patients with zero recorded follow-up.</w:t>
      </w:r>
    </w:p>
    <w:p>
      <w:r>
        <w:rPr>
          <w:rFonts w:ascii="Times New Roman" w:hAnsi="Times New Roman"/>
          <w:b/>
          <w:sz w:val="22"/>
        </w:rPr>
        <w:t xml:space="preserve">Results. </w:t>
      </w:r>
      <w:r>
        <w:rPr>
          <w:rFonts w:ascii="Times New Roman" w:hAnsi="Times New Roman"/>
          <w:sz w:val="22"/>
        </w:rPr>
        <w:t xml:space="preserve">The cohort comprised 3,578 patients (no/negative ETE, n = 68; microscopic ETE, n = 2,359; gross ETE, n = 1,151), with 105 path-proven recurrences. Crude path-proven recurrence rates were 4.4 %, 1.9 %, and 5.0 %, respectively. In the primary model (N = 3,572; 105 events), gross ETE was associated with higher odds of path-proven recurrence than microscopic ETE (adjusted OR [aOR], 1.77; 95 % CI, 1.15–2.71; </w:t>
      </w:r>
      <w:r>
        <w:rPr>
          <w:rFonts w:ascii="Times New Roman" w:hAnsi="Times New Roman"/>
          <w:i/>
          <w:sz w:val="22"/>
        </w:rPr>
        <w:t>p</w:t>
      </w:r>
      <w:r>
        <w:rPr>
          <w:rFonts w:ascii="Times New Roman" w:hAnsi="Times New Roman"/>
          <w:sz w:val="22"/>
        </w:rPr>
        <w:t xml:space="preserve"> = 0.009). The no/negative-vs-microscopic contrast was point-elevated but imprecise (aOR, 2.72; 95 % CI, 0.80–9.30; </w:t>
      </w:r>
      <w:r>
        <w:rPr>
          <w:rFonts w:ascii="Times New Roman" w:hAnsi="Times New Roman"/>
          <w:i/>
          <w:sz w:val="22"/>
        </w:rPr>
        <w:t>p</w:t>
      </w:r>
      <w:r>
        <w:rPr>
          <w:rFonts w:ascii="Times New Roman" w:hAnsi="Times New Roman"/>
          <w:sz w:val="22"/>
        </w:rPr>
        <w:t xml:space="preserve"> = 0.111) and was confounded by a marked follow-up differential, universal repeat surgery, margin and RAI enrichment, and atypical referral pathways. Tumor size (aOR, 1.93; 95 % CI, 1.27–2.92; </w:t>
      </w:r>
      <w:r>
        <w:rPr>
          <w:rFonts w:ascii="Times New Roman" w:hAnsi="Times New Roman"/>
          <w:i/>
          <w:sz w:val="22"/>
        </w:rPr>
        <w:t>p</w:t>
      </w:r>
      <w:r>
        <w:rPr>
          <w:rFonts w:ascii="Times New Roman" w:hAnsi="Times New Roman"/>
          <w:sz w:val="22"/>
        </w:rPr>
        <w:t xml:space="preserve"> = 0.002) and focal vascular invasion (aOR, 2.25; 95 % CI, 1.07–4.73; </w:t>
      </w:r>
      <w:r>
        <w:rPr>
          <w:rFonts w:ascii="Times New Roman" w:hAnsi="Times New Roman"/>
          <w:i/>
          <w:sz w:val="22"/>
        </w:rPr>
        <w:t>p</w:t>
      </w:r>
      <w:r>
        <w:rPr>
          <w:rFonts w:ascii="Times New Roman" w:hAnsi="Times New Roman"/>
          <w:sz w:val="22"/>
        </w:rPr>
        <w:t xml:space="preserve"> = 0.033) were independently associated with recurrence. The gross-vs-microscopic association was directionally consistent across crude (OR 2.68), BRAF/TERT-adjusted (aOR 1.78), lymph-node-topography (aOR 1.99), PTC-only (aOR 1.97), composite-LVI (aOR 2.04), and zero-follow-up–excluded (aOR 1.79; </w:t>
      </w:r>
      <w:r>
        <w:rPr>
          <w:rFonts w:ascii="Times New Roman" w:hAnsi="Times New Roman"/>
          <w:i/>
          <w:sz w:val="22"/>
        </w:rPr>
        <w:t>p</w:t>
      </w:r>
      <w:r>
        <w:rPr>
          <w:rFonts w:ascii="Times New Roman" w:hAnsi="Times New Roman"/>
          <w:sz w:val="22"/>
        </w:rPr>
        <w:t xml:space="preserve"> = 0.007) specifications. Adding RAI attenuated the estimate to aOR 1.40 (</w:t>
      </w:r>
      <w:r>
        <w:rPr>
          <w:rFonts w:ascii="Times New Roman" w:hAnsi="Times New Roman"/>
          <w:i/>
          <w:sz w:val="22"/>
        </w:rPr>
        <w:t>p</w:t>
      </w:r>
      <w:r>
        <w:rPr>
          <w:rFonts w:ascii="Times New Roman" w:hAnsi="Times New Roman"/>
          <w:sz w:val="22"/>
        </w:rPr>
        <w:t xml:space="preserve"> = 0.136), with RAI itself entering at aOR 3.72 (95 % CI, 2.45–5.64; </w:t>
      </w:r>
      <w:r>
        <w:rPr>
          <w:rFonts w:ascii="Times New Roman" w:hAnsi="Times New Roman"/>
          <w:i/>
          <w:sz w:val="22"/>
        </w:rPr>
        <w:t>p</w:t>
      </w:r>
      <w:r>
        <w:rPr>
          <w:rFonts w:ascii="Times New Roman" w:hAnsi="Times New Roman"/>
          <w:sz w:val="22"/>
        </w:rPr>
        <w:t xml:space="preserve"> &lt; 0.001), a pattern consistent with confounding by indication rather than a causal effect of RAI.</w:t>
      </w:r>
    </w:p>
    <w:p>
      <w:r>
        <w:rPr>
          <w:rFonts w:ascii="Times New Roman" w:hAnsi="Times New Roman"/>
          <w:b/>
          <w:sz w:val="22"/>
        </w:rPr>
        <w:t xml:space="preserve">Conclusions. </w:t>
      </w:r>
      <w:r>
        <w:rPr>
          <w:rFonts w:ascii="Times New Roman" w:hAnsi="Times New Roman"/>
          <w:sz w:val="22"/>
        </w:rPr>
        <w:t>In this retrospective surgical cohort, gross ETE — but not microscopic ETE alone — showed a reproducible adjusted association with path-proven recurrence. These findings provide pathologic support for the AJCC eighth-edition decision to separate microscopic from gross ETE for anatomic staging, while emphasizing that microscopic ETE should remain part of individualized recurrence-risk assessment that integrates tumor size, nodal disease, LVI subtype, histology, margin status, postoperative thyroglobulin, and dynamic response to therapy.</w:t>
      </w:r>
    </w:p>
    <w:p>
      <w:pPr>
        <w:pStyle w:val="Heading1"/>
      </w:pPr>
      <w:r>
        <w:rPr>
          <w:rFonts w:ascii="Times New Roman" w:hAnsi="Times New Roman"/>
          <w:color w:val="000000"/>
        </w:rPr>
        <w:t>Introduction</w:t>
      </w:r>
    </w:p>
    <w:p>
      <w:r>
        <w:rPr>
          <w:rFonts w:ascii="Times New Roman" w:hAnsi="Times New Roman"/>
          <w:b w:val="0"/>
          <w:i w:val="0"/>
          <w:sz w:val="22"/>
        </w:rPr>
        <w:t>Extrathyroidal extension (ETE) has long been used to characterize the anatomic extent and biologic aggressiveness of differentiated thyroid cancer (DTC). The eighth edition of the AJCC staging system made a major change by removing microscopic ETE from T3 upstaging, while preserving gross ETE as a staging-relevant adverse feature and distinguishing gross strap-muscle invasion from more extensive invasion of aerodigestive, neural, or vascular structures.[1,2] This change reflected the central purpose of AJCC staging — prediction of disease-specific mortality — and a growing recognition that microscopic ETE is not equivalent to gross invasion.</w:t>
      </w:r>
    </w:p>
    <w:p>
      <w:r>
        <w:rPr>
          <w:rFonts w:ascii="Times New Roman" w:hAnsi="Times New Roman"/>
          <w:b w:val="0"/>
          <w:i w:val="0"/>
          <w:sz w:val="22"/>
        </w:rPr>
        <w:t>The recurrence implications of microscopic ETE remain less settled. Some studies have found that microscopic ETE is associated with nodal metastasis, lymphovascular invasion (LVI), positive margins, or recurrence, whereas others suggest that it is not an independent prognostic factor after accounting for tumor size, nodal disease, and other adverse features.[4–8] This apparent conflict may reflect heterogeneity in pathology definitions, case mix, treatment selection, follow-up intensity, and analytic reference groups. It also highlights a useful distinction between microscopic ETE as an anatomic staging criterion and microscopic ETE as one component of postoperative recurrence-risk stratification.</w:t>
      </w:r>
    </w:p>
    <w:p>
      <w:r>
        <w:rPr>
          <w:rFonts w:ascii="Times New Roman" w:hAnsi="Times New Roman"/>
          <w:b w:val="0"/>
          <w:i w:val="0"/>
          <w:sz w:val="22"/>
        </w:rPr>
        <w:t>Pathology remains the reference standard for microscopic ETE, because preoperative imaging has limited ability to detect minimal perithyroidal extension. In a focused systematic review of CT studies in surgical cohorts using pathology as the reference standard, CT specificity for ETE was generally high (85 %–98 % with structured criteria), but sensitivity varied widely (14 %–99 %) and was lower for microscopic ETE than for gross ETE.[11,12] Imaging therefore supports surgical planning when gross invasion is suspected, but a negative CT cannot exclude microscopic ETE. This diagnostic asymmetry reinforces the need for pathology-anchored analyses of ETE grade and recurrence.</w:t>
      </w:r>
    </w:p>
    <w:p>
      <w:r>
        <w:rPr>
          <w:rFonts w:ascii="Times New Roman" w:hAnsi="Times New Roman"/>
          <w:b w:val="0"/>
          <w:i w:val="0"/>
          <w:sz w:val="22"/>
        </w:rPr>
        <w:t>We evaluated a locked, strict-DTC surgical cohort to test whether gross ETE confers higher recurrence risk than microscopic ETE after adjustment for key clinicopathologic features. We additionally and explicitly audited the small no/negative ETE subgroup, because in a retrospective surgical dataset it was not expected to function as a clean biologic comparator.</w:t>
      </w:r>
    </w:p>
    <w:p>
      <w:pPr>
        <w:pStyle w:val="Heading1"/>
      </w:pPr>
      <w:r>
        <w:rPr>
          <w:rFonts w:ascii="Times New Roman" w:hAnsi="Times New Roman"/>
          <w:color w:val="000000"/>
        </w:rPr>
        <w:t>Materials and Methods</w:t>
      </w:r>
    </w:p>
    <w:p>
      <w:pPr>
        <w:pStyle w:val="Heading2"/>
      </w:pPr>
      <w:r>
        <w:rPr>
          <w:rFonts w:ascii="Times New Roman" w:hAnsi="Times New Roman"/>
          <w:color w:val="000000"/>
        </w:rPr>
        <w:t>Study design and cohort</w:t>
      </w:r>
    </w:p>
    <w:p>
      <w:r>
        <w:rPr>
          <w:rFonts w:ascii="Times New Roman" w:hAnsi="Times New Roman"/>
          <w:b w:val="0"/>
          <w:i w:val="0"/>
          <w:sz w:val="22"/>
        </w:rPr>
        <w:t>We performed a single-institution retrospective cohort study using the institutional thyroid cancer publication database (manuscript_workspace.cohort_m044_ajcc_ete_v1; parent n = 4,128). Strict DTC was defined a priori; cases were excluded for non-DTC histology (medullary, anaplastic, follicular tumor of uncertain malignant potential [FTUMP], non-invasive follicular thyroid neoplasm with papillary-like nuclear features [NIFTP], follicular adenoma and atypical follicular/Hurthle-cell neoplasms, NUT carcinoma, adenoid-cystic, thymic-like, and high-grade carcinoma with focal squamous features), metastatic-only or recurrent-only presentations, and ETE grade missing or unclassifiable into the three primary groups. After 550 exclusions, the locked analytic cohort comprised 3,578 patients. The cohort lock was dated 2026-05-04. Institutional review board status, waiver of informed consent, and data-use approvals are to be inserted before submission.</w:t>
      </w:r>
    </w:p>
    <w:p>
      <w:pPr>
        <w:pStyle w:val="Heading2"/>
      </w:pPr>
      <w:r>
        <w:rPr>
          <w:rFonts w:ascii="Times New Roman" w:hAnsi="Times New Roman"/>
          <w:color w:val="000000"/>
        </w:rPr>
        <w:t>Exposure and endpoints</w:t>
      </w:r>
    </w:p>
    <w:p>
      <w:r>
        <w:rPr>
          <w:rFonts w:ascii="Times New Roman" w:hAnsi="Times New Roman"/>
          <w:b w:val="0"/>
          <w:i w:val="0"/>
          <w:sz w:val="22"/>
        </w:rPr>
        <w:t>The primary exposure was the pathology-derived ETE group: no/negative, microscopic, or gross ETE. Microscopic ETE served as the regression reference because the primary clinical question was whether gross ETE behaves differently from microscopic ETE under the AJCC eighth-edition framework. The prespecified primary endpoint was path-proven structural recurrence, defined by biopsy, cytology, or operative pathology (recurrence_path_proven). Imaging-only unconfirmed recurrence (n = 136) and a composite endpoint of path-proven or imaging-only recurrence (n = 241) were prespecified secondary/descriptive endpoints. Two legacy any-recurrence flags inconsistent with the canonical resolved-recurrence schema were retained for audit-only transparency and were not used as primary or secondary endpoints.</w:t>
      </w:r>
    </w:p>
    <w:p>
      <w:pPr>
        <w:pStyle w:val="Heading2"/>
      </w:pPr>
      <w:r>
        <w:rPr>
          <w:rFonts w:ascii="Times New Roman" w:hAnsi="Times New Roman"/>
          <w:color w:val="000000"/>
        </w:rPr>
        <w:t>Covariates</w:t>
      </w:r>
    </w:p>
    <w:p>
      <w:r>
        <w:rPr>
          <w:rFonts w:ascii="Times New Roman" w:hAnsi="Times New Roman"/>
          <w:b w:val="0"/>
          <w:i w:val="0"/>
          <w:sz w:val="22"/>
        </w:rPr>
        <w:t>The primary multivariable model adjusted for age at surgery (per 10 years), sex (male reference), ln(1 + tumor size in cm), AJCC eighth-edition N stage (N0, N1a, N1b, Nx; N0 reference), five-level histology (PTC, FTC, poorly-differentiated DTC, high-grade DTC; PTC reference; the metastatic-PTC dummy was structurally zero in the cohort and was dropped), five-level lymphatic invasion (missing reference; present, extensive, focal, indeterminate), and five-level vascular invasion (missing reference; present-ungraded, extensive, focal, indeterminate). Lymphatic and vascular invasion were modeled separately, with explicit missing and indeterminate categories, rather than as a single composite LVI flag. RAI was excluded from the primary model because receipt is strongly confounded by indication and may absorb the disease-severity gradient under study; RAI, BRAF V600E, and TERT promoter status were added in prespecified sensitivity models.</w:t>
      </w:r>
    </w:p>
    <w:p>
      <w:pPr>
        <w:pStyle w:val="Heading2"/>
      </w:pPr>
      <w:r>
        <w:rPr>
          <w:rFonts w:ascii="Times New Roman" w:hAnsi="Times New Roman"/>
          <w:color w:val="000000"/>
        </w:rPr>
        <w:t>Statistical analysis</w:t>
      </w:r>
    </w:p>
    <w:p>
      <w:r>
        <w:rPr>
          <w:rFonts w:ascii="Times New Roman" w:hAnsi="Times New Roman"/>
          <w:b w:val="0"/>
          <w:i w:val="0"/>
          <w:sz w:val="22"/>
        </w:rPr>
        <w:t>Baseline characteristics were summarized as median (interquartile range [IQR]) or n (%). Continuous variables were compared across the three ETE groups using the Kruskal–Wallis test (chosen over one-way ANOVA because of non-Gaussian distributions of tumor size, follow-up, AGES, and lymph-node counts); categorical variables were compared using the chi-square test on the 3 × k contingency table.</w:t>
      </w:r>
    </w:p>
    <w:p>
      <w:r>
        <w:rPr>
          <w:rFonts w:ascii="Times New Roman" w:hAnsi="Times New Roman"/>
          <w:b w:val="0"/>
          <w:i w:val="0"/>
          <w:sz w:val="22"/>
        </w:rPr>
        <w:t>The primary analysis used multivariable logistic regression for the binary outcome of observed path-proven recurrence. Binary logistic regression was chosen a priori because follow-up was short and irregular, with 1,187 patients (33.2 %) having zero recorded follow-up years. Under this follow-up distribution, time-to-event models would risk estimating surveillance intensity and documentation opportunity rather than recurrence hazards. Odds ratios, 95 % confidence intervals, and two-sided p values are reported. Categorical covariates retained explicit missing and indeterminate categories; missingness was not recoded as absent. The primary model used a complete-case frame (six patients with missing tumor size dropped). Quasi-separated dummies — strata that were constant across the analytic frame or that contained no events — were detected automatically and either dropped or flagged "n/a (quasi-separation)" rather than reported as misleadingly extreme estimates.</w:t>
      </w:r>
    </w:p>
    <w:p>
      <w:pPr>
        <w:pStyle w:val="Heading2"/>
      </w:pPr>
      <w:r>
        <w:rPr>
          <w:rFonts w:ascii="Times New Roman" w:hAnsi="Times New Roman"/>
          <w:color w:val="000000"/>
        </w:rPr>
        <w:t>Sensitivity and exploratory analyses</w:t>
      </w:r>
    </w:p>
    <w:p>
      <w:r>
        <w:rPr>
          <w:rFonts w:ascii="Times New Roman" w:hAnsi="Times New Roman"/>
          <w:b w:val="0"/>
          <w:i w:val="0"/>
          <w:sz w:val="22"/>
        </w:rPr>
        <w:t>Two prespecified sensitivity models added (1) RAI receipt and (2) BRAF V600E and TERT promoter status. Exploratory models additionally (a) added central- and lateral-compartment lymph-node positivity, (b) tested an ETE × ln(1 + lymph-node positive) interaction, (c) restricted the cohort to PTC, (d) substituted a composite "any LVI" flag for the separate five-level lymphatic and vascular invasion variables, and (e) excluded patients with zero recorded follow-up (and, in a stricter version, those with less than one year of follow-up). A no/negative ETE confounding audit compared composite-recurrent and non-recurrent patients within that subgroup to evaluate surgical selection and ascertainment bias. Preoperative CT ETE variables, radiology-defined ETE grade, and CT–pathology concordance fields were not available in this dataset; therefore, imaging diagnostic performance could not be analyzed. All computations were performed in Python with statsmodels (Logit, Newton method with BFGS fallback) and scipy.stats, and are reproducible from the patient-level dataset using build_strict_dtc_deliverables.py.</w:t>
      </w:r>
    </w:p>
    <w:p>
      <w:pPr>
        <w:pStyle w:val="Heading1"/>
      </w:pPr>
      <w:r>
        <w:rPr>
          <w:rFonts w:ascii="Times New Roman" w:hAnsi="Times New Roman"/>
          <w:color w:val="000000"/>
        </w:rPr>
        <w:t>Results</w:t>
      </w:r>
    </w:p>
    <w:p>
      <w:pPr>
        <w:pStyle w:val="Heading2"/>
      </w:pPr>
      <w:r>
        <w:rPr>
          <w:rFonts w:ascii="Times New Roman" w:hAnsi="Times New Roman"/>
          <w:color w:val="000000"/>
        </w:rPr>
        <w:t>Cohort characteristics</w:t>
      </w:r>
    </w:p>
    <w:p>
      <w:r>
        <w:rPr>
          <w:rFonts w:ascii="Times New Roman" w:hAnsi="Times New Roman"/>
          <w:b w:val="0"/>
          <w:i w:val="0"/>
          <w:sz w:val="22"/>
        </w:rPr>
        <w:t>The strict-DTC cohort included 3,578 patients (Table 1): no/negative ETE, n = 68 (1.9 %); microscopic ETE, n = 2,359 (65.9 %); gross ETE, n = 1,151 (32.2 %). Median age was 50 years overall and 51 years in the gross-ETE group. Gross ETE was associated with larger tumors, more multifocality and bilaterality, greater margin involvement, more frequent N1a and N1b disease, more frequent total thyroidectomy and RAI receipt, and higher crude recurrence rates. Median tumor size was 1.2 cm in the no/negative ETE group, 1.5 cm in the microscopic ETE group, and 2.1 cm in the gross ETE group (p &lt; 0.001).</w:t>
      </w:r>
    </w:p>
    <w:p>
      <w:pPr>
        <w:pStyle w:val="Heading2"/>
      </w:pPr>
      <w:r>
        <w:rPr>
          <w:rFonts w:ascii="Times New Roman" w:hAnsi="Times New Roman"/>
          <w:color w:val="000000"/>
        </w:rPr>
        <w:t>Follow-up and recurrence</w:t>
      </w:r>
    </w:p>
    <w:p>
      <w:r>
        <w:rPr>
          <w:rFonts w:ascii="Times New Roman" w:hAnsi="Times New Roman"/>
          <w:b w:val="0"/>
          <w:i w:val="0"/>
          <w:sz w:val="22"/>
        </w:rPr>
        <w:t>Median follow-up was 1.12 years overall (IQR, 0.00–4.95), and 1,187 patients (33.2 %) had zero recorded follow-up. Follow-up differed by ETE group: 1.42 years (IQR, 0.00–6.36) in no/negative ETE, 0.70 years (IQR, 0.00–4.34) in microscopic ETE, and 1.99 years (IQR, 0.04–5.65) in gross ETE. Path-proven recurrence occurred in 105 patients (2.9 %): 3 with no/negative ETE (4.4 %), 45 with microscopic ETE (1.9 %), and 57 with gross ETE (5.0 %). Composite recurrence occurred in 241 patients (6.7 %; 5.9 %, 4.9 %, and 10.5 % across the three groups, respectively).</w:t>
      </w:r>
    </w:p>
    <w:p>
      <w:pPr>
        <w:pStyle w:val="Heading2"/>
      </w:pPr>
      <w:r>
        <w:rPr>
          <w:rFonts w:ascii="Times New Roman" w:hAnsi="Times New Roman"/>
          <w:color w:val="000000"/>
        </w:rPr>
        <w:t>Lymph-node and lymphovascular-invasion patterns</w:t>
      </w:r>
    </w:p>
    <w:p>
      <w:r>
        <w:rPr>
          <w:rFonts w:ascii="Times New Roman" w:hAnsi="Times New Roman"/>
          <w:b w:val="0"/>
          <w:i w:val="0"/>
          <w:sz w:val="22"/>
        </w:rPr>
        <w:t>Gross ETE displayed a higher lymphatic-burden phenotype than microscopic ETE. Central-compartment lymph-node positivity was present in 31.3 % of gross-ETE patients versus 16.9 % of microscopic-ETE patients, and lateral-compartment positivity was present in 14.6 % versus 5.6 %, respectively. Any LVI (the composite flag) was present in 43.4 % of gross-ETE patients versus 25.2 % of microscopic-ETE patients. Any vascular invasion was also more frequent in gross than microscopic ETE (38.5 % vs 22.3 %), supporting separate evaluation of lymphatic and vascular invasion in the regression model.</w:t>
      </w:r>
    </w:p>
    <w:p>
      <w:pPr>
        <w:pStyle w:val="Heading2"/>
      </w:pPr>
      <w:r>
        <w:rPr>
          <w:rFonts w:ascii="Times New Roman" w:hAnsi="Times New Roman"/>
          <w:color w:val="000000"/>
        </w:rPr>
        <w:t>Primary multivariable regression</w:t>
      </w:r>
    </w:p>
    <w:p>
      <w:r>
        <w:rPr>
          <w:rFonts w:ascii="Times New Roman" w:hAnsi="Times New Roman"/>
          <w:b w:val="0"/>
          <w:i w:val="0"/>
          <w:sz w:val="22"/>
        </w:rPr>
        <w:t>In the primary multivariable model (N = 3,572; 105 events), gross ETE was associated with higher odds of path-proven recurrence than microscopic ETE (aOR, 1.77; 95 % CI, 1.15–2.71; p = 0.009; Table 2). The no/negative-vs-microscopic contrast was point-elevated but imprecise (aOR, 2.72; 95 % CI, 0.80–9.30; p = 0.111). Tumor size remained independently associated with recurrence (aOR for ln[1 + size], 1.93; 95 % CI, 1.27–2.92; p = 0.002). FTC was associated with lower odds of recurrence than PTC (aOR, 0.31; 95 % CI, 0.14–0.71; p = 0.006). Focal vascular invasion was associated with recurrence (aOR, 2.25; 95 % CI, 1.07–4.73; p = 0.033), whereas lymphatic invasion present versus missing was not (aOR, 0.87; 95 % CI, 0.47–1.61; p = 0.657); the lymphatic-extensive coefficient trended elevated but did not reach significance (aOR, 2.45; 95 % CI, 0.92–6.52; p = 0.073). N1b versus N0 trended elevated (aOR, 2.24; 95 % CI, 0.83–6.03; p = 0.110). Nx, high-grade DTC, and lymphatic-focal cells were quasi-separated and were transparently dropped.</w:t>
      </w:r>
    </w:p>
    <w:p>
      <w:pPr>
        <w:pStyle w:val="Heading2"/>
      </w:pPr>
      <w:r>
        <w:rPr>
          <w:rFonts w:ascii="Times New Roman" w:hAnsi="Times New Roman"/>
          <w:color w:val="000000"/>
        </w:rPr>
        <w:t>Sensitivity and exploratory models</w:t>
      </w:r>
    </w:p>
    <w:p>
      <w:r>
        <w:rPr>
          <w:rFonts w:ascii="Times New Roman" w:hAnsi="Times New Roman"/>
          <w:b w:val="0"/>
          <w:i w:val="0"/>
          <w:sz w:val="22"/>
        </w:rPr>
        <w:t>The gross-vs-microscopic ETE association was directionally elevated and significant in six of seven specifications (Table 3). The crude OR was 2.68 (95 % CI, 1.80–3.99; p &lt; 0.001), the BRAF/TERT-adjusted aOR was 1.78 (95 % CI, 1.16–2.73; p = 0.008), the lymph-node-topography exploratory aOR was 1.99 (95 % CI, 1.31–3.02; p = 0.001), the PTC-only aOR was 1.97 (95 % CI, 1.26–3.07; p = 0.003), and the composite-LVI aOR was 2.04 (95 % CI, 1.35–3.09; p &lt; 0.001). In the lymph-node-topography model, both central (aOR, 1.78; 95 % CI, 1.04–3.06; p = 0.036) and lateral (aOR, 1.85; 95 % CI, 1.05–3.24; p = 0.033) compartment positivity were independently associated with recurrence. The ETE × ln(1 + lymph-node positive) interaction was not significant (interaction OR, 0.87; 95 % CI, 0.59–1.28; p = 0.485), suggesting an additive rather than multiplicative architecture between gross ETE and nodal burden.</w:t>
      </w:r>
    </w:p>
    <w:p>
      <w:r>
        <w:rPr>
          <w:rFonts w:ascii="Times New Roman" w:hAnsi="Times New Roman"/>
          <w:b w:val="0"/>
          <w:i w:val="0"/>
          <w:sz w:val="22"/>
        </w:rPr>
        <w:t>Adding RAI attenuated the gross-vs-microscopic estimate to aOR 1.40 (95 % CI, 0.90–2.16; p = 0.136), with RAI itself entering at aOR 3.72 (95 % CI, 2.45–5.64; p &lt; 0.001). This pattern is consistent with confounding by indication — sicker patients (gross ETE, larger tumors, more nodal disease) preferentially receive RAI, so the RAI coefficient absorbs residual disease severity rather than reflecting a causal protective or harmful effect of RAI on recurrence — and is the basis for excluding RAI from the primary model.</w:t>
      </w:r>
    </w:p>
    <w:p>
      <w:r>
        <w:rPr>
          <w:rFonts w:ascii="Times New Roman" w:hAnsi="Times New Roman"/>
          <w:b w:val="0"/>
          <w:i w:val="0"/>
          <w:sz w:val="22"/>
        </w:rPr>
        <w:t>In a prespecified sensitivity analysis excluding the 1,187 patients with zero recorded follow-up (resulting cohort N = 2,391, 104 events), the gross-vs-microscopic aOR was 1.79 (95 % CI, 1.17–2.72; p = 0.007), virtually identical to the full-cohort estimate. With a more restrictive exclusion (follow-up ≥ 1 year; N = 1,830, 86 events), the aOR strengthened to 2.10 (95 % CI, 1.30–3.39; p = 0.002), and N1b versus N0 reached significance (aOR, 3.88; 95 % CI, 1.34–11.25; p = 0.013). These results indicate that the primary findings are not artifacts of zero-follow-up dilution and, if anything, are conservative.</w:t>
      </w:r>
    </w:p>
    <w:p>
      <w:pPr>
        <w:pStyle w:val="Heading2"/>
      </w:pPr>
      <w:r>
        <w:rPr>
          <w:rFonts w:ascii="Times New Roman" w:hAnsi="Times New Roman"/>
          <w:color w:val="000000"/>
        </w:rPr>
        <w:t>No/negative ETE confounding audit</w:t>
      </w:r>
    </w:p>
    <w:p>
      <w:r>
        <w:rPr>
          <w:rFonts w:ascii="Times New Roman" w:hAnsi="Times New Roman"/>
          <w:b w:val="0"/>
          <w:i w:val="0"/>
          <w:sz w:val="22"/>
        </w:rPr>
        <w:t>The no/negative ETE subgroup contained 68 patients with 4 composite recurrences and 3 path-proven recurrences. Among the 4 composite-recurrent no/negative patients, median follow-up was 9.68 years (IQR, 4.53–13.84) compared with 1.20 years (IQR, 0.00–5.89) among the 64 non-recurrent no/negative patients — an approximately 8-fold difference (Table 4). All 4 recurrent patients underwent at least two surgeries, compared with 14 of 64 non-recurrent patients (21.9 %), with a median time to second surgery of 629.5 days (IQR, 366.8–1,050.5) versus 116.5 days (IQR, 49.5–241.8) among re-operated non-recurrent patients. Recurrent no/negative patients were also enriched for margin involvement (75.0 % vs 18.8 %), RAI receipt (75.0 % vs 15.6 %), and AGES score (median 8.0 vs 5.9). These features indicate substantially greater opportunity for surveillance, tissue sampling, and pathologic confirmation among the small recurrent subset and identify the no/negative group as a confounded comparator rather than a clean biologic reference.</w:t>
      </w:r>
    </w:p>
    <w:p>
      <w:pPr>
        <w:pStyle w:val="Heading1"/>
      </w:pPr>
      <w:r>
        <w:rPr>
          <w:rFonts w:ascii="Times New Roman" w:hAnsi="Times New Roman"/>
          <w:color w:val="000000"/>
        </w:rPr>
        <w:t>Discussion</w:t>
      </w:r>
    </w:p>
    <w:p>
      <w:r>
        <w:rPr>
          <w:rFonts w:ascii="Times New Roman" w:hAnsi="Times New Roman"/>
          <w:b w:val="0"/>
          <w:i w:val="0"/>
          <w:sz w:val="22"/>
        </w:rPr>
        <w:t>In this strict-DTC surgical cohort of 3,578 patients with 105 path-proven recurrences, gross ETE was independently associated with higher odds of path-proven recurrence than microscopic ETE (aOR, 1.77; 95 % CI, 1.15–2.71; p = 0.009) after adjustment for age, sex, log-transformed tumor size, AJCC eighth-edition N stage, five-level histology, and separate five-level lymphatic and vascular invasion categories. The signal was directionally consistent across seven model specifications, with gross-vs-microscopic ORs ranging from 1.40 to 2.68, and remained statistically significant in six of seven models. The sole exception — the +RAI sensitivity model (aOR 1.40; p = 0.136) — is most plausibly explained by confounding by indication, because RAI itself enters at aOR 3.72 (p &lt; 0.001) and its inclusion absorbs the disease-severity gradient under study. These findings provide pathologic support, from the outcomes side, for the AJCC eighth-edition decision to remove microscopic ETE from anatomic upstaging while retaining gross invasion as a distinct adverse feature.[1,2]</w:t>
      </w:r>
    </w:p>
    <w:p>
      <w:r>
        <w:rPr>
          <w:rFonts w:ascii="Times New Roman" w:hAnsi="Times New Roman"/>
          <w:b w:val="0"/>
          <w:i w:val="0"/>
          <w:sz w:val="22"/>
        </w:rPr>
        <w:t>The results should not be interpreted to mean that microscopic ETE is clinically irrelevant. They are best understood as showing that microscopic ETE alone — without integration of additional features — does not independently confer excess recurrence risk in this cohort. Microscopic ETE remains a contextual pathologic feature whose importance depends on the surrounding risk profile, and patients with microscopic ETE should still be risk-stratified using tumor size, N stage and nodal topography, the number and size of involved lymph nodes, extranodal extension when available, LVI subtype, aggressive histology, margin status, postoperative thyroglobulin, molecular data when complete, and dynamic response to therapy.[3,9] This interpretation reconciles AJCC eighth-edition de-escalation for mortality staging with American Thyroid Association–style recurrence-risk assessment.</w:t>
      </w:r>
    </w:p>
    <w:p>
      <w:r>
        <w:rPr>
          <w:rFonts w:ascii="Times New Roman" w:hAnsi="Times New Roman"/>
          <w:b w:val="0"/>
          <w:i w:val="0"/>
          <w:sz w:val="22"/>
        </w:rPr>
        <w:t>A plausible biologic explanation is that gross ETE represents a more advanced invasion phenotype accompanied by greater primary-tumor burden, lymphatic access, and nodal dissemination. In the present cohort, gross ETE was associated with larger tumors, higher central- (31.3 % vs 16.9 %) and lateral- (14.6 % vs 5.6 %) compartment lymph-node positivity, greater margin involvement, and more LVI than microscopic ETE. The lymph-node-topography exploratory model preserved and slightly sharpened the gross-ETE signal (aOR 1.99) while showing that both central and lateral nodal positivity were independently associated with recurrence; the ETE × nodal-burden interaction was not significant (interaction p = 0.485). This pattern suggests an additive risk architecture in which gross invasion, tumor size, vascular invasion, and nodal burden each contribute to observed recurrence.</w:t>
      </w:r>
    </w:p>
    <w:p>
      <w:r>
        <w:rPr>
          <w:rFonts w:ascii="Times New Roman" w:hAnsi="Times New Roman"/>
          <w:b w:val="0"/>
          <w:i w:val="0"/>
          <w:sz w:val="22"/>
        </w:rPr>
        <w:t>Separating lymphatic from vascular invasion adds value over a composite LVI variable. Composite LVI was associated with recurrence in exploratory modeling (aOR 2.04; p &lt; 0.001), but it obscured a distinct signal: focal vascular invasion was independently associated with recurrence in the primary model (aOR 2.25; p = 0.033), whereas lymphatic invasion present versus missing was not (aOR 0.87; p = 0.657). Because lymphatic and vascular invasion may reflect different routes of tumor dissemination and are reported with different degrees of completeness, combining them into a single flag risks both biologic oversimplification and statistical misclassification. Future pathology workflows should pursue more complete and standardized reporting of both components.</w:t>
      </w:r>
    </w:p>
    <w:p>
      <w:pPr>
        <w:pStyle w:val="Heading2"/>
      </w:pPr>
      <w:r>
        <w:rPr>
          <w:rFonts w:ascii="Times New Roman" w:hAnsi="Times New Roman"/>
          <w:color w:val="000000"/>
        </w:rPr>
        <w:t>The no/negative ETE subgroup as a confounded comparator</w:t>
      </w:r>
    </w:p>
    <w:p>
      <w:r>
        <w:rPr>
          <w:rFonts w:ascii="Times New Roman" w:hAnsi="Times New Roman"/>
          <w:b w:val="0"/>
          <w:i w:val="0"/>
          <w:sz w:val="22"/>
        </w:rPr>
        <w:t>The no/negative ETE subgroup warrants particularly careful interpretation. Its crude path-proven recurrence rate (4.4 %) appears paradoxically elevated compared with microscopic ETE (1.9 %), and its adjusted no/negative-vs-microscopic OR (2.72; 95 % CI, 0.80–9.30; p = 0.111) is point-elevated. Our structured audit (Table 4) provides five converging lines of quantitative evidence that this apparent excess is an artifact of ascertainment bias rather than a biologic signal.</w:t>
      </w:r>
    </w:p>
    <w:p>
      <w:r>
        <w:rPr>
          <w:rFonts w:ascii="Times New Roman" w:hAnsi="Times New Roman"/>
          <w:b w:val="0"/>
          <w:i w:val="0"/>
          <w:sz w:val="22"/>
        </w:rPr>
        <w:t>First, the follow-up differential is extreme: the four composite-recurrent no/negative patients had a median follow-up of 9.68 years (IQR, 4.53–13.84), compared with 1.20 years (IQR, 0.00–5.89) among the 64 non-recurrent no/negative patients — an approximately 8-fold difference. The dramatically longer observation window in the recurrent subset provided substantially more opportunity for late events to be detected. Second, all four recurrent patients (100 %) underwent at least two surgeries, compared with 21.9 % (14/64) of non-recurrent patients; the time to the second surgery was markedly longer among recurrences (median 629.5 days; IQR, 366.8–1,050.5) than among re-operated non-recurrent patients (median 116.5 days; IQR, 49.5–241.8), suggesting a protracted surgical pathway with repeated tissue-sampling opportunities rather than prompt completion thyroidectomy. Third, recurrent no/negative patients were enriched for margin involvement (75 % vs 18.8 %), RAI receipt (75 % vs 15.6 %), and AGES score (median 8.0 vs 5.9), indicating that the recurrences occurred in a small subset of clinically complex, high-risk patients who were not typical of the no/negative ETE group as a whole. Fourth, the no/negative subgroup itself was enriched for atypical referral pathways: 26.5 % had ≥ 2 surgeries (vs 14.9 % in microscopic ETE), 23.5 % had Nx status (vs 6.1 % in microscopic ETE), and the AJCC stage distribution was tilted toward Stage I and indeterminate categories rather than the intermediate-risk patterns dominant in microscopic ETE. Fifth, in a prespecified sensitivity analysis excluding patients with zero recorded follow-up (leaving 43 no/negative patients, 1,466 microscopic, and 882 gross), the gross-vs-microscopic signal was preserved (aOR 1.79; 95 % CI, 1.17–2.72; p = 0.007) while the no/negative-vs-microscopic contrast remained non-significant (aOR 2.46; 95 % CI, 0.72–8.42; p = 0.150).</w:t>
      </w:r>
    </w:p>
    <w:p>
      <w:r>
        <w:rPr>
          <w:rFonts w:ascii="Times New Roman" w:hAnsi="Times New Roman"/>
          <w:b w:val="0"/>
          <w:i w:val="0"/>
          <w:sz w:val="22"/>
        </w:rPr>
        <w:t>We therefore designate the no/negative ETE group a confounded comparator. It is appropriate evidence that the no/negative-vs-microscopic contrast is underpowered and ascertainment-confounded; it is not evidence that absent ETE paradoxically increases recurrence risk. The AJCC eighth-edition framework is designed to distinguish gross from microscopic ETE, not to characterize the small population of patients with formally documented absent ETE — itself a pathologic finding subject to reporting and ascertainment variability.</w:t>
      </w:r>
    </w:p>
    <w:p>
      <w:pPr>
        <w:pStyle w:val="Heading2"/>
      </w:pPr>
      <w:r>
        <w:rPr>
          <w:rFonts w:ascii="Times New Roman" w:hAnsi="Times New Roman"/>
          <w:color w:val="000000"/>
        </w:rPr>
        <w:t>Statistical power and the limits of the no/negative subgroup</w:t>
      </w:r>
    </w:p>
    <w:p>
      <w:r>
        <w:rPr>
          <w:rFonts w:ascii="Times New Roman" w:hAnsi="Times New Roman"/>
          <w:b w:val="0"/>
          <w:i w:val="0"/>
          <w:sz w:val="22"/>
        </w:rPr>
        <w:t>Statistical power in this study is asymmetric across the two principal contrasts. For the gross-vs-microscopic comparison (57 vs 45 events in groups of 1,151 and 2,359), the study has greater than 90 % power to detect an OR of 2.0 and approximately 70 % power to detect an OR of 1.5 at α = 0.05. The observed aOR of 1.77 was detected with p = 0.009 and was consistent across six of seven model specifications, providing strong evidence of a true association. For the no/negative-vs-microscopic comparison (3 events in 68 patients vs 45 in 2,359), power to detect an OR of 2.5 at α = 0.05 is less than 30 %. The observed aOR of 2.72 (95 % CI, 0.80–9.30; p = 0.111) should therefore be interpreted as inconclusive rather than as evidence of no difference: the wide confidence interval encompasses both clinically trivial and clinically substantial effect sizes, and the ascertainment biases described above argue that any apparent excess is more likely artifactual than biologic.</w:t>
      </w:r>
    </w:p>
    <w:p>
      <w:r>
        <w:rPr>
          <w:rFonts w:ascii="Times New Roman" w:hAnsi="Times New Roman"/>
          <w:b w:val="0"/>
          <w:i w:val="0"/>
          <w:sz w:val="22"/>
        </w:rPr>
        <w:t>The events-per-variable (EPV) ratio for the full primary model is 5.8 (105 events across approximately 18 parameters), below the conventional threshold of 10 proposed by Peduzzi and colleagues. This is a recognized limitation, mitigated by four features of the analysis: the primary inference concerns the two-degree-of-freedom ETE contrast rather than the full covariate set; quasi-separated strata (Nx, high-grade DTC, lymphatic-focal) are transparently detected and dropped; sensitivity analyses with reduced covariate sets produce similar ETE estimates; and the direction and significance of the gross-vs-microscopic contrast are stable across all model specifications that do not include RAI.</w:t>
      </w:r>
    </w:p>
    <w:p>
      <w:pPr>
        <w:pStyle w:val="Heading2"/>
      </w:pPr>
      <w:r>
        <w:rPr>
          <w:rFonts w:ascii="Times New Roman" w:hAnsi="Times New Roman"/>
          <w:color w:val="000000"/>
        </w:rPr>
        <w:t>CT imaging context</w:t>
      </w:r>
    </w:p>
    <w:p>
      <w:r>
        <w:rPr>
          <w:rFonts w:ascii="Times New Roman" w:hAnsi="Times New Roman"/>
          <w:b w:val="0"/>
          <w:i w:val="0"/>
          <w:sz w:val="22"/>
        </w:rPr>
        <w:t>The differential prognostic significance of gross versus microscopic ETE identified in our study is best interpreted alongside the preoperative imaging literature. A focused systematic review of 12 CT studies in surgical thyroid-cancer cohorts using pathology as the reference standard demonstrates a fundamental asymmetry in CT diagnostic performance: CT specificity for ETE is consistently high (85 %–98 %) when structured radiologic criteria are used, whereas sensitivity is variable (14 %–99 %; typically 40 %–78 % with structured criteria). CT performs substantially better for gross ETE (approximately 80 % sensitivity; AUC 0.80) than for microscopic ETE (approximately 50 % sensitivity; AUC 0.72).[11,12] Importantly, fewer than one-third of these primary studies acknowledged surgical selection bias, and over half of the meta-analyzed studies were judged to be at high risk of bias.</w:t>
      </w:r>
    </w:p>
    <w:p>
      <w:r>
        <w:rPr>
          <w:rFonts w:ascii="Times New Roman" w:hAnsi="Times New Roman"/>
          <w:b w:val="0"/>
          <w:i w:val="0"/>
          <w:sz w:val="22"/>
        </w:rPr>
        <w:t>This imaging-performance profile is coherent with our pathology-based outcomes findings. Gross ETE — the subtype that independently predicts recurrence — is also the subtype that CT can detect with reasonable sensitivity, supporting a clinical pathway in which preoperative CT identifies gross ETE with adequate sensitivity and very high specificity, gross ETE then informs T3b staging and the extent of strap-muscle resection, and postoperative pathology confirms the assignment. Microscopic ETE — which our data show does not independently predict recurrence after adjustment — is also the subtype that CT cannot reliably detect, meaning that its omission from anatomic staging avoids a category that is both prognostically uninformative on its own and diagnostically unreliable preoperatively. Emerging radiomics-based approaches (AUC 0.78–0.84 in preliminary studies) may improve preoperative gross-ETE detection without sacrificing specificity and represent a high-yield direction for clinical integration. We did not have structured preoperative CT ETE variables in this dataset, so direct correlation of imaging and pathologic ETE classification was not possible; this is an important data gap that future studies should close.</w:t>
      </w:r>
    </w:p>
    <w:p>
      <w:pPr>
        <w:pStyle w:val="Heading2"/>
      </w:pPr>
      <w:r>
        <w:rPr>
          <w:rFonts w:ascii="Times New Roman" w:hAnsi="Times New Roman"/>
          <w:color w:val="000000"/>
        </w:rPr>
        <w:t>Generalizability and the zero-follow-up challenge</w:t>
      </w:r>
    </w:p>
    <w:p>
      <w:r>
        <w:rPr>
          <w:rFonts w:ascii="Times New Roman" w:hAnsi="Times New Roman"/>
          <w:b w:val="0"/>
          <w:i w:val="0"/>
          <w:sz w:val="22"/>
        </w:rPr>
        <w:t>One-third of the cohort (1,187 of 3,578; 33.2 %) had zero recorded follow-up years. This data feature has three implications. First, it precludes Cox proportional-hazards modeling, which requires non-zero observation times; the binary logistic approach used here is the methodologically appropriate alternative. Second, it inflates rate denominators without contributing events: only one of 1,187 zero-follow-up patients had a path-proven recurrence. Third, it could introduce selection bias if zero follow-up is non-random across ETE groups — and indeed it is, with 37.9 % of microscopic-ETE patients but only 23.4 % of gross-ETE patients having zero follow-up. We addressed this with prespecified sensitivity analyses described in the Results: excluding zero-follow-up patients yielded aOR 1.79 (p = 0.007), and excluding patients with less than one year of follow-up yielded aOR 2.10 (p = 0.002), with N1b reaching significance in the latter cohort (aOR 3.88; p = 0.013). The primary findings are therefore not artifacts of zero-follow-up dilution and, if anything, are conservative.</w:t>
      </w:r>
    </w:p>
    <w:p>
      <w:r>
        <w:rPr>
          <w:rFonts w:ascii="Times New Roman" w:hAnsi="Times New Roman"/>
          <w:b w:val="0"/>
          <w:i w:val="0"/>
          <w:sz w:val="22"/>
        </w:rPr>
        <w:t>This is a single-institution study, which limits demographic and practice-pattern generalizability. The cohort is drawn from a large academic referral center, which over-represents complex and higher-risk cases relative to community practice. Single-institution data also offer the advantage of consistent pathologic classification, uniform ETE grading, and a single electronic health record for endpoint ascertainment, all of which reduce measurement error in the exposure and outcome. ETE grading is subject to substantial interobserver variability, and in multicenter studies heterogeneity in grading criteria typically biases associations toward the null; if anything, our consistent grading process may make our estimate of the gross-vs-microscopic OR closer to the true value. Multicenter validation with prospective ETE grading and longer, standardized follow-up nevertheless remains an essential next step.</w:t>
      </w:r>
    </w:p>
    <w:p>
      <w:pPr>
        <w:pStyle w:val="Heading2"/>
      </w:pPr>
      <w:r>
        <w:rPr>
          <w:rFonts w:ascii="Times New Roman" w:hAnsi="Times New Roman"/>
          <w:color w:val="000000"/>
        </w:rPr>
        <w:t>Limitations</w:t>
      </w:r>
    </w:p>
    <w:p>
      <w:r>
        <w:rPr>
          <w:rFonts w:ascii="Times New Roman" w:hAnsi="Times New Roman"/>
          <w:b w:val="0"/>
          <w:i w:val="0"/>
          <w:sz w:val="22"/>
        </w:rPr>
        <w:t>This study has limitations beyond those discussed above. It is retrospective and relies on existing pathology classifications and follow-up workflows; late recurrences (≥ 5 years) are likely under-ascertained because of the short and uneven follow-up window. The binary logistic framework cannot estimate hazard rates, recurrence-free survival, or proportional-hazards assumptions, and the EPV of 5.8 limits precision for sparse categories, interactions, and subgroup analyses. The dataset did not contain structured preoperative CT ETE variables, radiology-defined ETE grade, or CT–pathology concordance fields, precluding direct evaluation of imaging diagnostic performance in this cohort. BRAF and TERT testing was not universal, so molecular sensitivity analyses are limited to those tested; additional molecular variables (RAS, RET) and full extranodal-extension data were not available. Finally, the no/negative ETE subgroup is too small to support a propensity-matched comparison: with only 3 path-proven events among 68 patients, matched analyses would yield uninterpretable estimates, and we recommend addressing this only through multicenter expansion of the no/negative subgroup.</w:t>
      </w:r>
    </w:p>
    <w:p>
      <w:pPr>
        <w:pStyle w:val="Heading2"/>
      </w:pPr>
      <w:r>
        <w:rPr>
          <w:rFonts w:ascii="Times New Roman" w:hAnsi="Times New Roman"/>
          <w:color w:val="000000"/>
        </w:rPr>
        <w:t>Future directions</w:t>
      </w:r>
    </w:p>
    <w:p>
      <w:r>
        <w:rPr>
          <w:rFonts w:ascii="Times New Roman" w:hAnsi="Times New Roman"/>
          <w:b w:val="0"/>
          <w:i w:val="0"/>
          <w:sz w:val="22"/>
        </w:rPr>
        <w:t>Future work should validate these findings in multicenter cohorts with longer, standardized follow-up and complete pathology, molecular, and postoperative thyroglobulin data. Imaging integration is especially important: structured CT reporting, ultrasound–CT fusion variables, radiomics, and machine-learning approaches may improve preoperative detection of gross ETE while preserving the high specificity needed for surgical planning. Lymph-node–specific studies should evaluate nodal number, size, topography, and extranodal extension as modifiers of ETE-associated recurrence risk. Expanding the no/negative ETE subgroup through multicenter collaboration (target n ≥ 200 with ≥ 10 events) would enable propensity-matched comparison with microscopic ETE and could resolve the inconclusive contrast observed in our cohort.</w:t>
      </w:r>
    </w:p>
    <w:p>
      <w:pPr>
        <w:pStyle w:val="Heading1"/>
      </w:pPr>
      <w:r>
        <w:rPr>
          <w:rFonts w:ascii="Times New Roman" w:hAnsi="Times New Roman"/>
          <w:color w:val="000000"/>
        </w:rPr>
        <w:t>Conclusion</w:t>
      </w:r>
    </w:p>
    <w:p>
      <w:r>
        <w:rPr>
          <w:rFonts w:ascii="Times New Roman" w:hAnsi="Times New Roman"/>
          <w:b w:val="0"/>
          <w:i w:val="0"/>
          <w:sz w:val="22"/>
        </w:rPr>
        <w:t>Gross ETE was associated with higher odds of path-proven recurrence than microscopic ETE in a strict-DTC surgical cohort, whereas the small no/negative ETE subgroup was underpowered and confounded by ascertainment and surgical-selection effects. The findings provide pathologic support for the AJCC eighth-edition separation of microscopic from gross ETE for anatomic staging, while emphasizing that microscopic ETE should remain part of individualized recurrence-risk assessment rather than a stand-alone trigger for aggressive treatment.</w:t>
      </w:r>
    </w:p>
    <w:p>
      <w:pPr>
        <w:pStyle w:val="Heading1"/>
      </w:pPr>
      <w:r>
        <w:rPr>
          <w:rFonts w:ascii="Times New Roman" w:hAnsi="Times New Roman"/>
          <w:color w:val="000000"/>
        </w:rPr>
        <w:t>Declarations</w:t>
      </w:r>
    </w:p>
    <w:p>
      <w:r>
        <w:rPr>
          <w:rFonts w:ascii="Times New Roman" w:hAnsi="Times New Roman"/>
          <w:b w:val="0"/>
          <w:i w:val="0"/>
          <w:sz w:val="22"/>
        </w:rPr>
        <w:t>[Insert ethics, funding, disclosures, author contributions, acknowledgments, and data/code availability statements as in the journal-specific submission.]</w:t>
      </w:r>
    </w:p>
    <w:p>
      <w:pPr>
        <w:pStyle w:val="Heading1"/>
      </w:pPr>
      <w:r>
        <w:rPr>
          <w:rFonts w:ascii="Times New Roman" w:hAnsi="Times New Roman"/>
          <w:color w:val="000000"/>
        </w:rPr>
        <w:t>References</w:t>
      </w:r>
    </w:p>
    <w:p>
      <w:r>
        <w:rPr>
          <w:rFonts w:ascii="Times New Roman" w:hAnsi="Times New Roman"/>
          <w:b w:val="0"/>
          <w:i w:val="0"/>
          <w:sz w:val="22"/>
        </w:rPr>
        <w:t>1. Amin MB, Edge SB, Greene FL, et al., eds. AJCC Cancer Staging Manual. 8th ed. New York, NY: Springer; 2017.</w:t>
      </w:r>
    </w:p>
    <w:p>
      <w:r>
        <w:rPr>
          <w:rFonts w:ascii="Times New Roman" w:hAnsi="Times New Roman"/>
          <w:b w:val="0"/>
          <w:i w:val="0"/>
          <w:sz w:val="22"/>
        </w:rPr>
        <w:t>2. Tuttle RM, Haugen B, Perrier ND. Updated American Joint Committee on Cancer/Tumor-Node-Metastasis staging system for differentiated and anaplastic thyroid cancer (eighth edition): what changed and why? Thyroid. 2017;27(6):751–756.</w:t>
      </w:r>
    </w:p>
    <w:p>
      <w:r>
        <w:rPr>
          <w:rFonts w:ascii="Times New Roman" w:hAnsi="Times New Roman"/>
          <w:b w:val="0"/>
          <w:i w:val="0"/>
          <w:sz w:val="22"/>
        </w:rPr>
        <w:t>3. Haugen BR, Alexander EK, Bible KC, et al. 2015 American Thyroid Association management guidelines for adult patients with thyroid nodules and differentiated thyroid cancer. Thyroid. 2016;26(1):1–133.</w:t>
      </w:r>
    </w:p>
    <w:p>
      <w:r>
        <w:rPr>
          <w:rFonts w:ascii="Times New Roman" w:hAnsi="Times New Roman"/>
          <w:b w:val="0"/>
          <w:i w:val="0"/>
          <w:sz w:val="22"/>
        </w:rPr>
        <w:t>4. Tran B, Roshan D, Abraham E, et al. An analysis of the American Joint Committee on Cancer 8th edition T staging system for papillary thyroid carcinoma. J Clin Endocrinol Metab. 2018;103(6):2199–2206.</w:t>
      </w:r>
    </w:p>
    <w:p>
      <w:r>
        <w:rPr>
          <w:rFonts w:ascii="Times New Roman" w:hAnsi="Times New Roman"/>
          <w:b w:val="0"/>
          <w:i w:val="0"/>
          <w:sz w:val="22"/>
        </w:rPr>
        <w:t>5. Park JS, Son KR, Na DG, et al. Clinical implications of microscopic extrathyroidal extension in patients with papillary thyroid carcinoma. Oral Oncol. 2017;72:183–187.</w:t>
      </w:r>
    </w:p>
    <w:p>
      <w:r>
        <w:rPr>
          <w:rFonts w:ascii="Times New Roman" w:hAnsi="Times New Roman"/>
          <w:b w:val="0"/>
          <w:i w:val="0"/>
          <w:sz w:val="22"/>
        </w:rPr>
        <w:t>6. Jiang KC, Zhou S, Hu Z, et al. Microscopic extrathyroidal extension does not affect the prognosis of patients with papillary thyroid carcinoma: a propensity-score matching analysis. Heliyon. 2024;10:e25077.</w:t>
      </w:r>
    </w:p>
    <w:p>
      <w:r>
        <w:rPr>
          <w:rFonts w:ascii="Times New Roman" w:hAnsi="Times New Roman"/>
          <w:b w:val="0"/>
          <w:i w:val="0"/>
          <w:sz w:val="22"/>
        </w:rPr>
        <w:t>7. Patti L, Cresta S, Curto O, et al. Impact of microscopic extrathyroidal extension on differentiated thyroid cancer post-surgical risk of recurrence: a retrospective analysis. J Endocrinol Invest. 2023;46:2157–2164.</w:t>
      </w:r>
    </w:p>
    <w:p>
      <w:r>
        <w:rPr>
          <w:rFonts w:ascii="Times New Roman" w:hAnsi="Times New Roman"/>
          <w:b w:val="0"/>
          <w:i w:val="0"/>
          <w:sz w:val="22"/>
        </w:rPr>
        <w:t>8. Bortz MD, Kuchta K, Winchester DJ, et al. Extrathyroidal extension predicts negative clinical outcomes in papillary thyroid cancer. Surgery. 2021;169:2–6.</w:t>
      </w:r>
    </w:p>
    <w:p>
      <w:r>
        <w:rPr>
          <w:rFonts w:ascii="Times New Roman" w:hAnsi="Times New Roman"/>
          <w:b w:val="0"/>
          <w:i w:val="0"/>
          <w:sz w:val="22"/>
        </w:rPr>
        <w:t>9. Randolph GW, Duh QY, Heller KS, et al. The prognostic significance of nodal metastases from papillary thyroid carcinoma can be stratified based on size and number of metastatic lymph nodes and extranodal extension. Thyroid. 2012;22(11):1144–1152.</w:t>
      </w:r>
    </w:p>
    <w:p>
      <w:r>
        <w:rPr>
          <w:rFonts w:ascii="Times New Roman" w:hAnsi="Times New Roman"/>
          <w:b w:val="0"/>
          <w:i w:val="0"/>
          <w:sz w:val="22"/>
        </w:rPr>
        <w:t>10. Tuttle RM, Morris LGT, Haugen BR, et al. Thyroid – differentiated and anaplastic carcinoma. In: Amin MB, Edge SB, Greene FL, et al., eds. AJCC Cancer Staging Manual. 8th ed. New York, NY: Springer; 2017.</w:t>
      </w:r>
    </w:p>
    <w:p>
      <w:r>
        <w:rPr>
          <w:rFonts w:ascii="Times New Roman" w:hAnsi="Times New Roman"/>
          <w:b w:val="0"/>
          <w:i w:val="0"/>
          <w:sz w:val="22"/>
        </w:rPr>
        <w:t>11. Xu X, Zhou Y, Su GY, et al. Iodine maps from dual-energy CT to predict extrathyroidal extension and recurrence in papillary thyroid cancer based on a radiomics approach. AJNR Am J Neuroradiol. 2022;43:1207–1214.</w:t>
      </w:r>
    </w:p>
    <w:p>
      <w:r>
        <w:rPr>
          <w:rFonts w:ascii="Times New Roman" w:hAnsi="Times New Roman"/>
          <w:b w:val="0"/>
          <w:i w:val="0"/>
          <w:sz w:val="22"/>
        </w:rPr>
        <w:t>12. Elicit. CT imaging for extrathyroidal extension in thyroid cancer: evidence synthesis report. Prepared for the present study; 2026. Unpublished supplemental evidence review.</w:t>
      </w:r>
    </w:p>
    <w:p>
      <w:r>
        <w:br w:type="page"/>
      </w:r>
    </w:p>
    <w:p>
      <w:pPr>
        <w:pStyle w:val="Heading1"/>
      </w:pPr>
      <w:r>
        <w:rPr>
          <w:rFonts w:ascii="Times New Roman" w:hAnsi="Times New Roman"/>
          <w:color w:val="000000"/>
        </w:rPr>
        <w:t>Tables</w:t>
      </w:r>
    </w:p>
    <w:p>
      <w:r>
        <w:rPr>
          <w:rFonts w:ascii="Times New Roman" w:hAnsi="Times New Roman"/>
          <w:b/>
          <w:sz w:val="22"/>
        </w:rPr>
        <w:t xml:space="preserve">Table 1. </w:t>
      </w:r>
      <w:r>
        <w:rPr>
          <w:rFonts w:ascii="Times New Roman" w:hAnsi="Times New Roman"/>
          <w:sz w:val="22"/>
        </w:rPr>
        <w:t>Baseline characteristics by ETE group.</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t>Characteristic</w:t>
            </w:r>
          </w:p>
        </w:tc>
        <w:tc>
          <w:tcPr>
            <w:tcW w:type="dxa" w:w="1560"/>
          </w:tcPr>
          <w:p>
            <w:r/>
            <w:r>
              <w:rPr>
                <w:rFonts w:ascii="Times New Roman" w:hAnsi="Times New Roman"/>
                <w:b/>
                <w:sz w:val="18"/>
              </w:rPr>
              <w:t>No/neg ETE (n=68)</w:t>
            </w:r>
          </w:p>
        </w:tc>
        <w:tc>
          <w:tcPr>
            <w:tcW w:type="dxa" w:w="1560"/>
          </w:tcPr>
          <w:p>
            <w:r/>
            <w:r>
              <w:rPr>
                <w:rFonts w:ascii="Times New Roman" w:hAnsi="Times New Roman"/>
                <w:b/>
                <w:sz w:val="18"/>
              </w:rPr>
              <w:t>Microscopic ETE (n=2,359)</w:t>
            </w:r>
          </w:p>
        </w:tc>
        <w:tc>
          <w:tcPr>
            <w:tcW w:type="dxa" w:w="1560"/>
          </w:tcPr>
          <w:p>
            <w:r/>
            <w:r>
              <w:rPr>
                <w:rFonts w:ascii="Times New Roman" w:hAnsi="Times New Roman"/>
                <w:b/>
                <w:sz w:val="18"/>
              </w:rPr>
              <w:t>Gross ETE (n=1,151)</w:t>
            </w:r>
          </w:p>
        </w:tc>
        <w:tc>
          <w:tcPr>
            <w:tcW w:type="dxa" w:w="1560"/>
          </w:tcPr>
          <w:p>
            <w:r/>
            <w:r>
              <w:rPr>
                <w:rFonts w:ascii="Times New Roman" w:hAnsi="Times New Roman"/>
                <w:b/>
                <w:sz w:val="18"/>
              </w:rPr>
              <w:t>Overall (n=3,578)</w:t>
            </w:r>
          </w:p>
        </w:tc>
        <w:tc>
          <w:tcPr>
            <w:tcW w:type="dxa" w:w="1560"/>
          </w:tcPr>
          <w:p>
            <w:r/>
            <w:r>
              <w:rPr>
                <w:rFonts w:ascii="Times New Roman" w:hAnsi="Times New Roman"/>
                <w:b/>
                <w:sz w:val="18"/>
              </w:rPr>
              <w:t>p</w:t>
            </w:r>
          </w:p>
        </w:tc>
      </w:tr>
      <w:tr>
        <w:tc>
          <w:tcPr>
            <w:tcW w:type="dxa" w:w="1560"/>
          </w:tcPr>
          <w:p>
            <w:r/>
            <w:r>
              <w:rPr>
                <w:rFonts w:ascii="Times New Roman" w:hAnsi="Times New Roman"/>
                <w:sz w:val="18"/>
              </w:rPr>
              <w:t>Age, y, median (IQR)</w:t>
            </w:r>
          </w:p>
        </w:tc>
        <w:tc>
          <w:tcPr>
            <w:tcW w:type="dxa" w:w="1560"/>
          </w:tcPr>
          <w:p>
            <w:r/>
            <w:r>
              <w:rPr>
                <w:rFonts w:ascii="Times New Roman" w:hAnsi="Times New Roman"/>
                <w:sz w:val="18"/>
              </w:rPr>
              <w:t>50.0 (36.8–58.0)</w:t>
            </w:r>
          </w:p>
        </w:tc>
        <w:tc>
          <w:tcPr>
            <w:tcW w:type="dxa" w:w="1560"/>
          </w:tcPr>
          <w:p>
            <w:r/>
            <w:r>
              <w:rPr>
                <w:rFonts w:ascii="Times New Roman" w:hAnsi="Times New Roman"/>
                <w:sz w:val="18"/>
              </w:rPr>
              <w:t>50.0 (38.0–62.0)</w:t>
            </w:r>
          </w:p>
        </w:tc>
        <w:tc>
          <w:tcPr>
            <w:tcW w:type="dxa" w:w="1560"/>
          </w:tcPr>
          <w:p>
            <w:r/>
            <w:r>
              <w:rPr>
                <w:rFonts w:ascii="Times New Roman" w:hAnsi="Times New Roman"/>
                <w:sz w:val="18"/>
              </w:rPr>
              <w:t>51.0 (39.0–64.0)</w:t>
            </w:r>
          </w:p>
        </w:tc>
        <w:tc>
          <w:tcPr>
            <w:tcW w:type="dxa" w:w="1560"/>
          </w:tcPr>
          <w:p>
            <w:r/>
            <w:r>
              <w:rPr>
                <w:rFonts w:ascii="Times New Roman" w:hAnsi="Times New Roman"/>
                <w:sz w:val="18"/>
              </w:rPr>
              <w:t>50.0 (38.0–63.0)</w:t>
            </w:r>
          </w:p>
        </w:tc>
        <w:tc>
          <w:tcPr>
            <w:tcW w:type="dxa" w:w="1560"/>
          </w:tcPr>
          <w:p>
            <w:r/>
            <w:r>
              <w:rPr>
                <w:rFonts w:ascii="Times New Roman" w:hAnsi="Times New Roman"/>
                <w:sz w:val="18"/>
              </w:rPr>
              <w:t>0.146</w:t>
            </w:r>
          </w:p>
        </w:tc>
      </w:tr>
      <w:tr>
        <w:tc>
          <w:tcPr>
            <w:tcW w:type="dxa" w:w="1560"/>
          </w:tcPr>
          <w:p>
            <w:r/>
            <w:r>
              <w:rPr>
                <w:rFonts w:ascii="Times New Roman" w:hAnsi="Times New Roman"/>
                <w:sz w:val="18"/>
              </w:rPr>
              <w:t>Female sex</w:t>
            </w:r>
          </w:p>
        </w:tc>
        <w:tc>
          <w:tcPr>
            <w:tcW w:type="dxa" w:w="1560"/>
          </w:tcPr>
          <w:p>
            <w:r/>
            <w:r>
              <w:rPr>
                <w:rFonts w:ascii="Times New Roman" w:hAnsi="Times New Roman"/>
                <w:sz w:val="18"/>
              </w:rPr>
              <w:t>51 (75.0%)</w:t>
            </w:r>
          </w:p>
        </w:tc>
        <w:tc>
          <w:tcPr>
            <w:tcW w:type="dxa" w:w="1560"/>
          </w:tcPr>
          <w:p>
            <w:r/>
            <w:r>
              <w:rPr>
                <w:rFonts w:ascii="Times New Roman" w:hAnsi="Times New Roman"/>
                <w:sz w:val="18"/>
              </w:rPr>
              <w:t>1,802 (76.4%)</w:t>
            </w:r>
          </w:p>
        </w:tc>
        <w:tc>
          <w:tcPr>
            <w:tcW w:type="dxa" w:w="1560"/>
          </w:tcPr>
          <w:p>
            <w:r/>
            <w:r>
              <w:rPr>
                <w:rFonts w:ascii="Times New Roman" w:hAnsi="Times New Roman"/>
                <w:sz w:val="18"/>
              </w:rPr>
              <w:t>801 (69.6%)</w:t>
            </w:r>
          </w:p>
        </w:tc>
        <w:tc>
          <w:tcPr>
            <w:tcW w:type="dxa" w:w="1560"/>
          </w:tcPr>
          <w:p>
            <w:r/>
            <w:r>
              <w:rPr>
                <w:rFonts w:ascii="Times New Roman" w:hAnsi="Times New Roman"/>
                <w:sz w:val="18"/>
              </w:rPr>
              <w:t>2,654 (74.2%)</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Tumor size, cm, median (IQR)</w:t>
            </w:r>
          </w:p>
        </w:tc>
        <w:tc>
          <w:tcPr>
            <w:tcW w:type="dxa" w:w="1560"/>
          </w:tcPr>
          <w:p>
            <w:r/>
            <w:r>
              <w:rPr>
                <w:rFonts w:ascii="Times New Roman" w:hAnsi="Times New Roman"/>
                <w:sz w:val="18"/>
              </w:rPr>
              <w:t>1.2 (0.5–2.5)</w:t>
            </w:r>
          </w:p>
        </w:tc>
        <w:tc>
          <w:tcPr>
            <w:tcW w:type="dxa" w:w="1560"/>
          </w:tcPr>
          <w:p>
            <w:r/>
            <w:r>
              <w:rPr>
                <w:rFonts w:ascii="Times New Roman" w:hAnsi="Times New Roman"/>
                <w:sz w:val="18"/>
              </w:rPr>
              <w:t>1.5 (0.7–2.6)</w:t>
            </w:r>
          </w:p>
        </w:tc>
        <w:tc>
          <w:tcPr>
            <w:tcW w:type="dxa" w:w="1560"/>
          </w:tcPr>
          <w:p>
            <w:r/>
            <w:r>
              <w:rPr>
                <w:rFonts w:ascii="Times New Roman" w:hAnsi="Times New Roman"/>
                <w:sz w:val="18"/>
              </w:rPr>
              <w:t>2.1 (1.1–4.0)</w:t>
            </w:r>
          </w:p>
        </w:tc>
        <w:tc>
          <w:tcPr>
            <w:tcW w:type="dxa" w:w="1560"/>
          </w:tcPr>
          <w:p>
            <w:r/>
            <w:r>
              <w:rPr>
                <w:rFonts w:ascii="Times New Roman" w:hAnsi="Times New Roman"/>
                <w:sz w:val="18"/>
              </w:rPr>
              <w:t>1.6 (0.8–3.0)</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Multifocal disease</w:t>
            </w:r>
          </w:p>
        </w:tc>
        <w:tc>
          <w:tcPr>
            <w:tcW w:type="dxa" w:w="1560"/>
          </w:tcPr>
          <w:p>
            <w:r/>
            <w:r>
              <w:rPr>
                <w:rFonts w:ascii="Times New Roman" w:hAnsi="Times New Roman"/>
                <w:sz w:val="18"/>
              </w:rPr>
              <w:t>14 (20.6%)</w:t>
            </w:r>
          </w:p>
        </w:tc>
        <w:tc>
          <w:tcPr>
            <w:tcW w:type="dxa" w:w="1560"/>
          </w:tcPr>
          <w:p>
            <w:r/>
            <w:r>
              <w:rPr>
                <w:rFonts w:ascii="Times New Roman" w:hAnsi="Times New Roman"/>
                <w:sz w:val="18"/>
              </w:rPr>
              <w:t>814 (34.5%)</w:t>
            </w:r>
          </w:p>
        </w:tc>
        <w:tc>
          <w:tcPr>
            <w:tcW w:type="dxa" w:w="1560"/>
          </w:tcPr>
          <w:p>
            <w:r/>
            <w:r>
              <w:rPr>
                <w:rFonts w:ascii="Times New Roman" w:hAnsi="Times New Roman"/>
                <w:sz w:val="18"/>
              </w:rPr>
              <w:t>453 (39.4%)</w:t>
            </w:r>
          </w:p>
        </w:tc>
        <w:tc>
          <w:tcPr>
            <w:tcW w:type="dxa" w:w="1560"/>
          </w:tcPr>
          <w:p>
            <w:r/>
            <w:r>
              <w:rPr>
                <w:rFonts w:ascii="Times New Roman" w:hAnsi="Times New Roman"/>
                <w:sz w:val="18"/>
              </w:rPr>
              <w:t>1,281 (35.8%)</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Bilateral disease</w:t>
            </w:r>
          </w:p>
        </w:tc>
        <w:tc>
          <w:tcPr>
            <w:tcW w:type="dxa" w:w="1560"/>
          </w:tcPr>
          <w:p>
            <w:r/>
            <w:r>
              <w:rPr>
                <w:rFonts w:ascii="Times New Roman" w:hAnsi="Times New Roman"/>
                <w:sz w:val="18"/>
              </w:rPr>
              <w:t>5 (7.4%)</w:t>
            </w:r>
          </w:p>
        </w:tc>
        <w:tc>
          <w:tcPr>
            <w:tcW w:type="dxa" w:w="1560"/>
          </w:tcPr>
          <w:p>
            <w:r/>
            <w:r>
              <w:rPr>
                <w:rFonts w:ascii="Times New Roman" w:hAnsi="Times New Roman"/>
                <w:sz w:val="18"/>
              </w:rPr>
              <w:t>488 (20.7%)</w:t>
            </w:r>
          </w:p>
        </w:tc>
        <w:tc>
          <w:tcPr>
            <w:tcW w:type="dxa" w:w="1560"/>
          </w:tcPr>
          <w:p>
            <w:r/>
            <w:r>
              <w:rPr>
                <w:rFonts w:ascii="Times New Roman" w:hAnsi="Times New Roman"/>
                <w:sz w:val="18"/>
              </w:rPr>
              <w:t>322 (28.0%)</w:t>
            </w:r>
          </w:p>
        </w:tc>
        <w:tc>
          <w:tcPr>
            <w:tcW w:type="dxa" w:w="1560"/>
          </w:tcPr>
          <w:p>
            <w:r/>
            <w:r>
              <w:rPr>
                <w:rFonts w:ascii="Times New Roman" w:hAnsi="Times New Roman"/>
                <w:sz w:val="18"/>
              </w:rPr>
              <w:t>815 (22.8%)</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Margin involved</w:t>
            </w:r>
          </w:p>
        </w:tc>
        <w:tc>
          <w:tcPr>
            <w:tcW w:type="dxa" w:w="1560"/>
          </w:tcPr>
          <w:p>
            <w:r/>
            <w:r>
              <w:rPr>
                <w:rFonts w:ascii="Times New Roman" w:hAnsi="Times New Roman"/>
                <w:sz w:val="18"/>
              </w:rPr>
              <w:t>15 (22.1%)</w:t>
            </w:r>
          </w:p>
        </w:tc>
        <w:tc>
          <w:tcPr>
            <w:tcW w:type="dxa" w:w="1560"/>
          </w:tcPr>
          <w:p>
            <w:r/>
            <w:r>
              <w:rPr>
                <w:rFonts w:ascii="Times New Roman" w:hAnsi="Times New Roman"/>
                <w:sz w:val="18"/>
              </w:rPr>
              <w:t>192 (8.1%)</w:t>
            </w:r>
          </w:p>
        </w:tc>
        <w:tc>
          <w:tcPr>
            <w:tcW w:type="dxa" w:w="1560"/>
          </w:tcPr>
          <w:p>
            <w:r/>
            <w:r>
              <w:rPr>
                <w:rFonts w:ascii="Times New Roman" w:hAnsi="Times New Roman"/>
                <w:sz w:val="18"/>
              </w:rPr>
              <w:t>302 (26.2%)</w:t>
            </w:r>
          </w:p>
        </w:tc>
        <w:tc>
          <w:tcPr>
            <w:tcW w:type="dxa" w:w="1560"/>
          </w:tcPr>
          <w:p>
            <w:r/>
            <w:r>
              <w:rPr>
                <w:rFonts w:ascii="Times New Roman" w:hAnsi="Times New Roman"/>
                <w:sz w:val="18"/>
              </w:rPr>
              <w:t>509 (14.2%)</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AJCC N0</w:t>
            </w:r>
          </w:p>
        </w:tc>
        <w:tc>
          <w:tcPr>
            <w:tcW w:type="dxa" w:w="1560"/>
          </w:tcPr>
          <w:p>
            <w:r/>
            <w:r>
              <w:rPr>
                <w:rFonts w:ascii="Times New Roman" w:hAnsi="Times New Roman"/>
                <w:sz w:val="18"/>
              </w:rPr>
              <w:t>20 (29.4%)</w:t>
            </w:r>
          </w:p>
        </w:tc>
        <w:tc>
          <w:tcPr>
            <w:tcW w:type="dxa" w:w="1560"/>
          </w:tcPr>
          <w:p>
            <w:r/>
            <w:r>
              <w:rPr>
                <w:rFonts w:ascii="Times New Roman" w:hAnsi="Times New Roman"/>
                <w:sz w:val="18"/>
              </w:rPr>
              <w:t>793 (33.6%)</w:t>
            </w:r>
          </w:p>
        </w:tc>
        <w:tc>
          <w:tcPr>
            <w:tcW w:type="dxa" w:w="1560"/>
          </w:tcPr>
          <w:p>
            <w:r/>
            <w:r>
              <w:rPr>
                <w:rFonts w:ascii="Times New Roman" w:hAnsi="Times New Roman"/>
                <w:sz w:val="18"/>
              </w:rPr>
              <w:t>294 (25.5%)</w:t>
            </w:r>
          </w:p>
        </w:tc>
        <w:tc>
          <w:tcPr>
            <w:tcW w:type="dxa" w:w="1560"/>
          </w:tcPr>
          <w:p>
            <w:r/>
            <w:r>
              <w:rPr>
                <w:rFonts w:ascii="Times New Roman" w:hAnsi="Times New Roman"/>
                <w:sz w:val="18"/>
              </w:rPr>
              <w:t>1,107 (30.9%)</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AJCC N1a</w:t>
            </w:r>
          </w:p>
        </w:tc>
        <w:tc>
          <w:tcPr>
            <w:tcW w:type="dxa" w:w="1560"/>
          </w:tcPr>
          <w:p>
            <w:r/>
            <w:r>
              <w:rPr>
                <w:rFonts w:ascii="Times New Roman" w:hAnsi="Times New Roman"/>
                <w:sz w:val="18"/>
              </w:rPr>
              <w:t>31 (45.6%)</w:t>
            </w:r>
          </w:p>
        </w:tc>
        <w:tc>
          <w:tcPr>
            <w:tcW w:type="dxa" w:w="1560"/>
          </w:tcPr>
          <w:p>
            <w:r/>
            <w:r>
              <w:rPr>
                <w:rFonts w:ascii="Times New Roman" w:hAnsi="Times New Roman"/>
                <w:sz w:val="18"/>
              </w:rPr>
              <w:t>1,401 (59.4%)</w:t>
            </w:r>
          </w:p>
        </w:tc>
        <w:tc>
          <w:tcPr>
            <w:tcW w:type="dxa" w:w="1560"/>
          </w:tcPr>
          <w:p>
            <w:r/>
            <w:r>
              <w:rPr>
                <w:rFonts w:ascii="Times New Roman" w:hAnsi="Times New Roman"/>
                <w:sz w:val="18"/>
              </w:rPr>
              <w:t>798 (69.3%)</w:t>
            </w:r>
          </w:p>
        </w:tc>
        <w:tc>
          <w:tcPr>
            <w:tcW w:type="dxa" w:w="1560"/>
          </w:tcPr>
          <w:p>
            <w:r/>
            <w:r>
              <w:rPr>
                <w:rFonts w:ascii="Times New Roman" w:hAnsi="Times New Roman"/>
                <w:sz w:val="18"/>
              </w:rPr>
              <w:t>2,230 (62.3%)</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AJCC N1b</w:t>
            </w:r>
          </w:p>
        </w:tc>
        <w:tc>
          <w:tcPr>
            <w:tcW w:type="dxa" w:w="1560"/>
          </w:tcPr>
          <w:p>
            <w:r/>
            <w:r>
              <w:rPr>
                <w:rFonts w:ascii="Times New Roman" w:hAnsi="Times New Roman"/>
                <w:sz w:val="18"/>
              </w:rPr>
              <w:t>1 (1.5%)</w:t>
            </w:r>
          </w:p>
        </w:tc>
        <w:tc>
          <w:tcPr>
            <w:tcW w:type="dxa" w:w="1560"/>
          </w:tcPr>
          <w:p>
            <w:r/>
            <w:r>
              <w:rPr>
                <w:rFonts w:ascii="Times New Roman" w:hAnsi="Times New Roman"/>
                <w:sz w:val="18"/>
              </w:rPr>
              <w:t>20 (0.8%)</w:t>
            </w:r>
          </w:p>
        </w:tc>
        <w:tc>
          <w:tcPr>
            <w:tcW w:type="dxa" w:w="1560"/>
          </w:tcPr>
          <w:p>
            <w:r/>
            <w:r>
              <w:rPr>
                <w:rFonts w:ascii="Times New Roman" w:hAnsi="Times New Roman"/>
                <w:sz w:val="18"/>
              </w:rPr>
              <w:t>40 (3.5%)</w:t>
            </w:r>
          </w:p>
        </w:tc>
        <w:tc>
          <w:tcPr>
            <w:tcW w:type="dxa" w:w="1560"/>
          </w:tcPr>
          <w:p>
            <w:r/>
            <w:r>
              <w:rPr>
                <w:rFonts w:ascii="Times New Roman" w:hAnsi="Times New Roman"/>
                <w:sz w:val="18"/>
              </w:rPr>
              <w:t>61 (1.7%)</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AJCC Nx</w:t>
            </w:r>
          </w:p>
        </w:tc>
        <w:tc>
          <w:tcPr>
            <w:tcW w:type="dxa" w:w="1560"/>
          </w:tcPr>
          <w:p>
            <w:r/>
            <w:r>
              <w:rPr>
                <w:rFonts w:ascii="Times New Roman" w:hAnsi="Times New Roman"/>
                <w:sz w:val="18"/>
              </w:rPr>
              <w:t>16 (23.5%)</w:t>
            </w:r>
          </w:p>
        </w:tc>
        <w:tc>
          <w:tcPr>
            <w:tcW w:type="dxa" w:w="1560"/>
          </w:tcPr>
          <w:p>
            <w:r/>
            <w:r>
              <w:rPr>
                <w:rFonts w:ascii="Times New Roman" w:hAnsi="Times New Roman"/>
                <w:sz w:val="18"/>
              </w:rPr>
              <w:t>145 (6.1%)</w:t>
            </w:r>
          </w:p>
        </w:tc>
        <w:tc>
          <w:tcPr>
            <w:tcW w:type="dxa" w:w="1560"/>
          </w:tcPr>
          <w:p>
            <w:r/>
            <w:r>
              <w:rPr>
                <w:rFonts w:ascii="Times New Roman" w:hAnsi="Times New Roman"/>
                <w:sz w:val="18"/>
              </w:rPr>
              <w:t>19 (1.7%)</w:t>
            </w:r>
          </w:p>
        </w:tc>
        <w:tc>
          <w:tcPr>
            <w:tcW w:type="dxa" w:w="1560"/>
          </w:tcPr>
          <w:p>
            <w:r/>
            <w:r>
              <w:rPr>
                <w:rFonts w:ascii="Times New Roman" w:hAnsi="Times New Roman"/>
                <w:sz w:val="18"/>
              </w:rPr>
              <w:t>180 (5.0%)</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Histology: PTC</w:t>
            </w:r>
          </w:p>
        </w:tc>
        <w:tc>
          <w:tcPr>
            <w:tcW w:type="dxa" w:w="1560"/>
          </w:tcPr>
          <w:p>
            <w:r/>
            <w:r>
              <w:rPr>
                <w:rFonts w:ascii="Times New Roman" w:hAnsi="Times New Roman"/>
                <w:sz w:val="18"/>
              </w:rPr>
              <w:t>57 (83.8%)</w:t>
            </w:r>
          </w:p>
        </w:tc>
        <w:tc>
          <w:tcPr>
            <w:tcW w:type="dxa" w:w="1560"/>
          </w:tcPr>
          <w:p>
            <w:r/>
            <w:r>
              <w:rPr>
                <w:rFonts w:ascii="Times New Roman" w:hAnsi="Times New Roman"/>
                <w:sz w:val="18"/>
              </w:rPr>
              <w:t>1,986 (84.2%)</w:t>
            </w:r>
          </w:p>
        </w:tc>
        <w:tc>
          <w:tcPr>
            <w:tcW w:type="dxa" w:w="1560"/>
          </w:tcPr>
          <w:p>
            <w:r/>
            <w:r>
              <w:rPr>
                <w:rFonts w:ascii="Times New Roman" w:hAnsi="Times New Roman"/>
                <w:sz w:val="18"/>
              </w:rPr>
              <w:t>1,008 (87.6%)</w:t>
            </w:r>
          </w:p>
        </w:tc>
        <w:tc>
          <w:tcPr>
            <w:tcW w:type="dxa" w:w="1560"/>
          </w:tcPr>
          <w:p>
            <w:r/>
            <w:r>
              <w:rPr>
                <w:rFonts w:ascii="Times New Roman" w:hAnsi="Times New Roman"/>
                <w:sz w:val="18"/>
              </w:rPr>
              <w:t>3,051 (85.3%)</w:t>
            </w:r>
          </w:p>
        </w:tc>
        <w:tc>
          <w:tcPr>
            <w:tcW w:type="dxa" w:w="1560"/>
          </w:tcPr>
          <w:p>
            <w:r/>
            <w:r>
              <w:rPr>
                <w:rFonts w:ascii="Times New Roman" w:hAnsi="Times New Roman"/>
                <w:sz w:val="18"/>
              </w:rPr>
              <w:t>0.028</w:t>
            </w:r>
          </w:p>
        </w:tc>
      </w:tr>
      <w:tr>
        <w:tc>
          <w:tcPr>
            <w:tcW w:type="dxa" w:w="1560"/>
          </w:tcPr>
          <w:p>
            <w:r/>
            <w:r>
              <w:rPr>
                <w:rFonts w:ascii="Times New Roman" w:hAnsi="Times New Roman"/>
                <w:sz w:val="18"/>
              </w:rPr>
              <w:t>Histology: FTC</w:t>
            </w:r>
          </w:p>
        </w:tc>
        <w:tc>
          <w:tcPr>
            <w:tcW w:type="dxa" w:w="1560"/>
          </w:tcPr>
          <w:p>
            <w:r/>
            <w:r>
              <w:rPr>
                <w:rFonts w:ascii="Times New Roman" w:hAnsi="Times New Roman"/>
                <w:sz w:val="18"/>
              </w:rPr>
              <w:t>9 (13.2%)</w:t>
            </w:r>
          </w:p>
        </w:tc>
        <w:tc>
          <w:tcPr>
            <w:tcW w:type="dxa" w:w="1560"/>
          </w:tcPr>
          <w:p>
            <w:r/>
            <w:r>
              <w:rPr>
                <w:rFonts w:ascii="Times New Roman" w:hAnsi="Times New Roman"/>
                <w:sz w:val="18"/>
              </w:rPr>
              <w:t>352 (14.9%)</w:t>
            </w:r>
          </w:p>
        </w:tc>
        <w:tc>
          <w:tcPr>
            <w:tcW w:type="dxa" w:w="1560"/>
          </w:tcPr>
          <w:p>
            <w:r/>
            <w:r>
              <w:rPr>
                <w:rFonts w:ascii="Times New Roman" w:hAnsi="Times New Roman"/>
                <w:sz w:val="18"/>
              </w:rPr>
              <w:t>120 (10.4%)</w:t>
            </w:r>
          </w:p>
        </w:tc>
        <w:tc>
          <w:tcPr>
            <w:tcW w:type="dxa" w:w="1560"/>
          </w:tcPr>
          <w:p>
            <w:r/>
            <w:r>
              <w:rPr>
                <w:rFonts w:ascii="Times New Roman" w:hAnsi="Times New Roman"/>
                <w:sz w:val="18"/>
              </w:rPr>
              <w:t>481 (13.4%)</w:t>
            </w:r>
          </w:p>
        </w:tc>
        <w:tc>
          <w:tcPr>
            <w:tcW w:type="dxa" w:w="1560"/>
          </w:tcPr>
          <w:p>
            <w:r/>
            <w:r>
              <w:rPr>
                <w:rFonts w:ascii="Times New Roman" w:hAnsi="Times New Roman"/>
                <w:sz w:val="18"/>
              </w:rPr>
              <w:t>0.001</w:t>
            </w:r>
          </w:p>
        </w:tc>
      </w:tr>
      <w:tr>
        <w:tc>
          <w:tcPr>
            <w:tcW w:type="dxa" w:w="1560"/>
          </w:tcPr>
          <w:p>
            <w:r/>
            <w:r>
              <w:rPr>
                <w:rFonts w:ascii="Times New Roman" w:hAnsi="Times New Roman"/>
                <w:sz w:val="18"/>
              </w:rPr>
              <w:t>Histology: poorly-diff DTC</w:t>
            </w:r>
          </w:p>
        </w:tc>
        <w:tc>
          <w:tcPr>
            <w:tcW w:type="dxa" w:w="1560"/>
          </w:tcPr>
          <w:p>
            <w:r/>
            <w:r>
              <w:rPr>
                <w:rFonts w:ascii="Times New Roman" w:hAnsi="Times New Roman"/>
                <w:sz w:val="18"/>
              </w:rPr>
              <w:t>2 (2.9%)</w:t>
            </w:r>
          </w:p>
        </w:tc>
        <w:tc>
          <w:tcPr>
            <w:tcW w:type="dxa" w:w="1560"/>
          </w:tcPr>
          <w:p>
            <w:r/>
            <w:r>
              <w:rPr>
                <w:rFonts w:ascii="Times New Roman" w:hAnsi="Times New Roman"/>
                <w:sz w:val="18"/>
              </w:rPr>
              <w:t>14 (0.6%)</w:t>
            </w:r>
          </w:p>
        </w:tc>
        <w:tc>
          <w:tcPr>
            <w:tcW w:type="dxa" w:w="1560"/>
          </w:tcPr>
          <w:p>
            <w:r/>
            <w:r>
              <w:rPr>
                <w:rFonts w:ascii="Times New Roman" w:hAnsi="Times New Roman"/>
                <w:sz w:val="18"/>
              </w:rPr>
              <w:t>20 (1.7%)</w:t>
            </w:r>
          </w:p>
        </w:tc>
        <w:tc>
          <w:tcPr>
            <w:tcW w:type="dxa" w:w="1560"/>
          </w:tcPr>
          <w:p>
            <w:r/>
            <w:r>
              <w:rPr>
                <w:rFonts w:ascii="Times New Roman" w:hAnsi="Times New Roman"/>
                <w:sz w:val="18"/>
              </w:rPr>
              <w:t>36 (1.0%)</w:t>
            </w:r>
          </w:p>
        </w:tc>
        <w:tc>
          <w:tcPr>
            <w:tcW w:type="dxa" w:w="1560"/>
          </w:tcPr>
          <w:p>
            <w:r/>
            <w:r>
              <w:rPr>
                <w:rFonts w:ascii="Times New Roman" w:hAnsi="Times New Roman"/>
                <w:sz w:val="18"/>
              </w:rPr>
              <w:t>0.002</w:t>
            </w:r>
          </w:p>
        </w:tc>
      </w:tr>
      <w:tr>
        <w:tc>
          <w:tcPr>
            <w:tcW w:type="dxa" w:w="1560"/>
          </w:tcPr>
          <w:p>
            <w:r/>
            <w:r>
              <w:rPr>
                <w:rFonts w:ascii="Times New Roman" w:hAnsi="Times New Roman"/>
                <w:sz w:val="18"/>
              </w:rPr>
              <w:t>Histology: high-grade DTC</w:t>
            </w:r>
          </w:p>
        </w:tc>
        <w:tc>
          <w:tcPr>
            <w:tcW w:type="dxa" w:w="1560"/>
          </w:tcPr>
          <w:p>
            <w:r/>
            <w:r>
              <w:rPr>
                <w:rFonts w:ascii="Times New Roman" w:hAnsi="Times New Roman"/>
                <w:sz w:val="18"/>
              </w:rPr>
              <w:t>0 (0.0%)</w:t>
            </w:r>
          </w:p>
        </w:tc>
        <w:tc>
          <w:tcPr>
            <w:tcW w:type="dxa" w:w="1560"/>
          </w:tcPr>
          <w:p>
            <w:r/>
            <w:r>
              <w:rPr>
                <w:rFonts w:ascii="Times New Roman" w:hAnsi="Times New Roman"/>
                <w:sz w:val="18"/>
              </w:rPr>
              <w:t>7 (0.3%)</w:t>
            </w:r>
          </w:p>
        </w:tc>
        <w:tc>
          <w:tcPr>
            <w:tcW w:type="dxa" w:w="1560"/>
          </w:tcPr>
          <w:p>
            <w:r/>
            <w:r>
              <w:rPr>
                <w:rFonts w:ascii="Times New Roman" w:hAnsi="Times New Roman"/>
                <w:sz w:val="18"/>
              </w:rPr>
              <w:t>3 (0.3%)</w:t>
            </w:r>
          </w:p>
        </w:tc>
        <w:tc>
          <w:tcPr>
            <w:tcW w:type="dxa" w:w="1560"/>
          </w:tcPr>
          <w:p>
            <w:r/>
            <w:r>
              <w:rPr>
                <w:rFonts w:ascii="Times New Roman" w:hAnsi="Times New Roman"/>
                <w:sz w:val="18"/>
              </w:rPr>
              <w:t>10 (0.3%)</w:t>
            </w:r>
          </w:p>
        </w:tc>
        <w:tc>
          <w:tcPr>
            <w:tcW w:type="dxa" w:w="1560"/>
          </w:tcPr>
          <w:p>
            <w:r/>
            <w:r>
              <w:rPr>
                <w:rFonts w:ascii="Times New Roman" w:hAnsi="Times New Roman"/>
                <w:sz w:val="18"/>
              </w:rPr>
              <w:t>0.891</w:t>
            </w:r>
          </w:p>
        </w:tc>
      </w:tr>
      <w:tr>
        <w:tc>
          <w:tcPr>
            <w:tcW w:type="dxa" w:w="1560"/>
          </w:tcPr>
          <w:p>
            <w:r/>
            <w:r>
              <w:rPr>
                <w:rFonts w:ascii="Times New Roman" w:hAnsi="Times New Roman"/>
                <w:sz w:val="18"/>
              </w:rPr>
              <w:t>Total thyroidectomy</w:t>
            </w:r>
          </w:p>
        </w:tc>
        <w:tc>
          <w:tcPr>
            <w:tcW w:type="dxa" w:w="1560"/>
          </w:tcPr>
          <w:p>
            <w:r/>
            <w:r>
              <w:rPr>
                <w:rFonts w:ascii="Times New Roman" w:hAnsi="Times New Roman"/>
                <w:sz w:val="18"/>
              </w:rPr>
              <w:t>39 (57.4%)</w:t>
            </w:r>
          </w:p>
        </w:tc>
        <w:tc>
          <w:tcPr>
            <w:tcW w:type="dxa" w:w="1560"/>
          </w:tcPr>
          <w:p>
            <w:r/>
            <w:r>
              <w:rPr>
                <w:rFonts w:ascii="Times New Roman" w:hAnsi="Times New Roman"/>
                <w:sz w:val="18"/>
              </w:rPr>
              <w:t>1,594 (67.6%)</w:t>
            </w:r>
          </w:p>
        </w:tc>
        <w:tc>
          <w:tcPr>
            <w:tcW w:type="dxa" w:w="1560"/>
          </w:tcPr>
          <w:p>
            <w:r/>
            <w:r>
              <w:rPr>
                <w:rFonts w:ascii="Times New Roman" w:hAnsi="Times New Roman"/>
                <w:sz w:val="18"/>
              </w:rPr>
              <w:t>868 (75.4%)</w:t>
            </w:r>
          </w:p>
        </w:tc>
        <w:tc>
          <w:tcPr>
            <w:tcW w:type="dxa" w:w="1560"/>
          </w:tcPr>
          <w:p>
            <w:r/>
            <w:r>
              <w:rPr>
                <w:rFonts w:ascii="Times New Roman" w:hAnsi="Times New Roman"/>
                <w:sz w:val="18"/>
              </w:rPr>
              <w:t>2,501 (69.9%)</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RAI received</w:t>
            </w:r>
          </w:p>
        </w:tc>
        <w:tc>
          <w:tcPr>
            <w:tcW w:type="dxa" w:w="1560"/>
          </w:tcPr>
          <w:p>
            <w:r/>
            <w:r>
              <w:rPr>
                <w:rFonts w:ascii="Times New Roman" w:hAnsi="Times New Roman"/>
                <w:sz w:val="18"/>
              </w:rPr>
              <w:t>13 (19.1%)</w:t>
            </w:r>
          </w:p>
        </w:tc>
        <w:tc>
          <w:tcPr>
            <w:tcW w:type="dxa" w:w="1560"/>
          </w:tcPr>
          <w:p>
            <w:r/>
            <w:r>
              <w:rPr>
                <w:rFonts w:ascii="Times New Roman" w:hAnsi="Times New Roman"/>
                <w:sz w:val="18"/>
              </w:rPr>
              <w:t>263 (11.1%)</w:t>
            </w:r>
          </w:p>
        </w:tc>
        <w:tc>
          <w:tcPr>
            <w:tcW w:type="dxa" w:w="1560"/>
          </w:tcPr>
          <w:p>
            <w:r/>
            <w:r>
              <w:rPr>
                <w:rFonts w:ascii="Times New Roman" w:hAnsi="Times New Roman"/>
                <w:sz w:val="18"/>
              </w:rPr>
              <w:t>306 (26.6%)</w:t>
            </w:r>
          </w:p>
        </w:tc>
        <w:tc>
          <w:tcPr>
            <w:tcW w:type="dxa" w:w="1560"/>
          </w:tcPr>
          <w:p>
            <w:r/>
            <w:r>
              <w:rPr>
                <w:rFonts w:ascii="Times New Roman" w:hAnsi="Times New Roman"/>
                <w:sz w:val="18"/>
              </w:rPr>
              <w:t>582 (16.3%)</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≥2 surgeries</w:t>
            </w:r>
          </w:p>
        </w:tc>
        <w:tc>
          <w:tcPr>
            <w:tcW w:type="dxa" w:w="1560"/>
          </w:tcPr>
          <w:p>
            <w:r/>
            <w:r>
              <w:rPr>
                <w:rFonts w:ascii="Times New Roman" w:hAnsi="Times New Roman"/>
                <w:sz w:val="18"/>
              </w:rPr>
              <w:t>18 (26.5%)</w:t>
            </w:r>
          </w:p>
        </w:tc>
        <w:tc>
          <w:tcPr>
            <w:tcW w:type="dxa" w:w="1560"/>
          </w:tcPr>
          <w:p>
            <w:r/>
            <w:r>
              <w:rPr>
                <w:rFonts w:ascii="Times New Roman" w:hAnsi="Times New Roman"/>
                <w:sz w:val="18"/>
              </w:rPr>
              <w:t>352 (14.9%)</w:t>
            </w:r>
          </w:p>
        </w:tc>
        <w:tc>
          <w:tcPr>
            <w:tcW w:type="dxa" w:w="1560"/>
          </w:tcPr>
          <w:p>
            <w:r/>
            <w:r>
              <w:rPr>
                <w:rFonts w:ascii="Times New Roman" w:hAnsi="Times New Roman"/>
                <w:sz w:val="18"/>
              </w:rPr>
              <w:t>169 (14.7%)</w:t>
            </w:r>
          </w:p>
        </w:tc>
        <w:tc>
          <w:tcPr>
            <w:tcW w:type="dxa" w:w="1560"/>
          </w:tcPr>
          <w:p>
            <w:r/>
            <w:r>
              <w:rPr>
                <w:rFonts w:ascii="Times New Roman" w:hAnsi="Times New Roman"/>
                <w:sz w:val="18"/>
              </w:rPr>
              <w:t>539 (15.1%)</w:t>
            </w:r>
          </w:p>
        </w:tc>
        <w:tc>
          <w:tcPr>
            <w:tcW w:type="dxa" w:w="1560"/>
          </w:tcPr>
          <w:p>
            <w:r/>
            <w:r>
              <w:rPr>
                <w:rFonts w:ascii="Times New Roman" w:hAnsi="Times New Roman"/>
                <w:sz w:val="18"/>
              </w:rPr>
              <w:t>0.029</w:t>
            </w:r>
          </w:p>
        </w:tc>
      </w:tr>
      <w:tr>
        <w:tc>
          <w:tcPr>
            <w:tcW w:type="dxa" w:w="1560"/>
          </w:tcPr>
          <w:p>
            <w:r/>
            <w:r>
              <w:rPr>
                <w:rFonts w:ascii="Times New Roman" w:hAnsi="Times New Roman"/>
                <w:sz w:val="18"/>
              </w:rPr>
              <w:t>Central LN positive</w:t>
            </w:r>
          </w:p>
        </w:tc>
        <w:tc>
          <w:tcPr>
            <w:tcW w:type="dxa" w:w="1560"/>
          </w:tcPr>
          <w:p>
            <w:r/>
            <w:r>
              <w:rPr>
                <w:rFonts w:ascii="Times New Roman" w:hAnsi="Times New Roman"/>
                <w:sz w:val="18"/>
              </w:rPr>
              <w:t>8 (11.8%)</w:t>
            </w:r>
          </w:p>
        </w:tc>
        <w:tc>
          <w:tcPr>
            <w:tcW w:type="dxa" w:w="1560"/>
          </w:tcPr>
          <w:p>
            <w:r/>
            <w:r>
              <w:rPr>
                <w:rFonts w:ascii="Times New Roman" w:hAnsi="Times New Roman"/>
                <w:sz w:val="18"/>
              </w:rPr>
              <w:t>398 (16.9%)</w:t>
            </w:r>
          </w:p>
        </w:tc>
        <w:tc>
          <w:tcPr>
            <w:tcW w:type="dxa" w:w="1560"/>
          </w:tcPr>
          <w:p>
            <w:r/>
            <w:r>
              <w:rPr>
                <w:rFonts w:ascii="Times New Roman" w:hAnsi="Times New Roman"/>
                <w:sz w:val="18"/>
              </w:rPr>
              <w:t>360 (31.3%)</w:t>
            </w:r>
          </w:p>
        </w:tc>
        <w:tc>
          <w:tcPr>
            <w:tcW w:type="dxa" w:w="1560"/>
          </w:tcPr>
          <w:p>
            <w:r/>
            <w:r>
              <w:rPr>
                <w:rFonts w:ascii="Times New Roman" w:hAnsi="Times New Roman"/>
                <w:sz w:val="18"/>
              </w:rPr>
              <w:t>766 (21.4%)</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Lateral LN positive</w:t>
            </w:r>
          </w:p>
        </w:tc>
        <w:tc>
          <w:tcPr>
            <w:tcW w:type="dxa" w:w="1560"/>
          </w:tcPr>
          <w:p>
            <w:r/>
            <w:r>
              <w:rPr>
                <w:rFonts w:ascii="Times New Roman" w:hAnsi="Times New Roman"/>
                <w:sz w:val="18"/>
              </w:rPr>
              <w:t>4 (5.9%)</w:t>
            </w:r>
          </w:p>
        </w:tc>
        <w:tc>
          <w:tcPr>
            <w:tcW w:type="dxa" w:w="1560"/>
          </w:tcPr>
          <w:p>
            <w:r/>
            <w:r>
              <w:rPr>
                <w:rFonts w:ascii="Times New Roman" w:hAnsi="Times New Roman"/>
                <w:sz w:val="18"/>
              </w:rPr>
              <w:t>131 (5.6%)</w:t>
            </w:r>
          </w:p>
        </w:tc>
        <w:tc>
          <w:tcPr>
            <w:tcW w:type="dxa" w:w="1560"/>
          </w:tcPr>
          <w:p>
            <w:r/>
            <w:r>
              <w:rPr>
                <w:rFonts w:ascii="Times New Roman" w:hAnsi="Times New Roman"/>
                <w:sz w:val="18"/>
              </w:rPr>
              <w:t>168 (14.6%)</w:t>
            </w:r>
          </w:p>
        </w:tc>
        <w:tc>
          <w:tcPr>
            <w:tcW w:type="dxa" w:w="1560"/>
          </w:tcPr>
          <w:p>
            <w:r/>
            <w:r>
              <w:rPr>
                <w:rFonts w:ascii="Times New Roman" w:hAnsi="Times New Roman"/>
                <w:sz w:val="18"/>
              </w:rPr>
              <w:t>303 (8.5%)</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Any LVI composite</w:t>
            </w:r>
          </w:p>
        </w:tc>
        <w:tc>
          <w:tcPr>
            <w:tcW w:type="dxa" w:w="1560"/>
          </w:tcPr>
          <w:p>
            <w:r/>
            <w:r>
              <w:rPr>
                <w:rFonts w:ascii="Times New Roman" w:hAnsi="Times New Roman"/>
                <w:sz w:val="18"/>
              </w:rPr>
              <w:t>19 (27.9%)</w:t>
            </w:r>
          </w:p>
        </w:tc>
        <w:tc>
          <w:tcPr>
            <w:tcW w:type="dxa" w:w="1560"/>
          </w:tcPr>
          <w:p>
            <w:r/>
            <w:r>
              <w:rPr>
                <w:rFonts w:ascii="Times New Roman" w:hAnsi="Times New Roman"/>
                <w:sz w:val="18"/>
              </w:rPr>
              <w:t>595 (25.2%)</w:t>
            </w:r>
          </w:p>
        </w:tc>
        <w:tc>
          <w:tcPr>
            <w:tcW w:type="dxa" w:w="1560"/>
          </w:tcPr>
          <w:p>
            <w:r/>
            <w:r>
              <w:rPr>
                <w:rFonts w:ascii="Times New Roman" w:hAnsi="Times New Roman"/>
                <w:sz w:val="18"/>
              </w:rPr>
              <w:t>500 (43.4%)</w:t>
            </w:r>
          </w:p>
        </w:tc>
        <w:tc>
          <w:tcPr>
            <w:tcW w:type="dxa" w:w="1560"/>
          </w:tcPr>
          <w:p>
            <w:r/>
            <w:r>
              <w:rPr>
                <w:rFonts w:ascii="Times New Roman" w:hAnsi="Times New Roman"/>
                <w:sz w:val="18"/>
              </w:rPr>
              <w:t>1,114 (31.1%)</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Follow-up, y, median (IQR)</w:t>
            </w:r>
          </w:p>
        </w:tc>
        <w:tc>
          <w:tcPr>
            <w:tcW w:type="dxa" w:w="1560"/>
          </w:tcPr>
          <w:p>
            <w:r/>
            <w:r>
              <w:rPr>
                <w:rFonts w:ascii="Times New Roman" w:hAnsi="Times New Roman"/>
                <w:sz w:val="18"/>
              </w:rPr>
              <w:t>1.42 (0.00–6.36)</w:t>
            </w:r>
          </w:p>
        </w:tc>
        <w:tc>
          <w:tcPr>
            <w:tcW w:type="dxa" w:w="1560"/>
          </w:tcPr>
          <w:p>
            <w:r/>
            <w:r>
              <w:rPr>
                <w:rFonts w:ascii="Times New Roman" w:hAnsi="Times New Roman"/>
                <w:sz w:val="18"/>
              </w:rPr>
              <w:t>0.70 (0.00–4.34)</w:t>
            </w:r>
          </w:p>
        </w:tc>
        <w:tc>
          <w:tcPr>
            <w:tcW w:type="dxa" w:w="1560"/>
          </w:tcPr>
          <w:p>
            <w:r/>
            <w:r>
              <w:rPr>
                <w:rFonts w:ascii="Times New Roman" w:hAnsi="Times New Roman"/>
                <w:sz w:val="18"/>
              </w:rPr>
              <w:t>1.99 (0.04–5.65)</w:t>
            </w:r>
          </w:p>
        </w:tc>
        <w:tc>
          <w:tcPr>
            <w:tcW w:type="dxa" w:w="1560"/>
          </w:tcPr>
          <w:p>
            <w:r/>
            <w:r>
              <w:rPr>
                <w:rFonts w:ascii="Times New Roman" w:hAnsi="Times New Roman"/>
                <w:sz w:val="18"/>
              </w:rPr>
              <w:t>1.12 (0.00–4.95)</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Follow-up = 0 y</w:t>
            </w:r>
          </w:p>
        </w:tc>
        <w:tc>
          <w:tcPr>
            <w:tcW w:type="dxa" w:w="1560"/>
          </w:tcPr>
          <w:p>
            <w:r/>
            <w:r>
              <w:rPr>
                <w:rFonts w:ascii="Times New Roman" w:hAnsi="Times New Roman"/>
                <w:sz w:val="18"/>
              </w:rPr>
              <w:t>25 (36.8%)</w:t>
            </w:r>
          </w:p>
        </w:tc>
        <w:tc>
          <w:tcPr>
            <w:tcW w:type="dxa" w:w="1560"/>
          </w:tcPr>
          <w:p>
            <w:r/>
            <w:r>
              <w:rPr>
                <w:rFonts w:ascii="Times New Roman" w:hAnsi="Times New Roman"/>
                <w:sz w:val="18"/>
              </w:rPr>
              <w:t>893 (37.9%)</w:t>
            </w:r>
          </w:p>
        </w:tc>
        <w:tc>
          <w:tcPr>
            <w:tcW w:type="dxa" w:w="1560"/>
          </w:tcPr>
          <w:p>
            <w:r/>
            <w:r>
              <w:rPr>
                <w:rFonts w:ascii="Times New Roman" w:hAnsi="Times New Roman"/>
                <w:sz w:val="18"/>
              </w:rPr>
              <w:t>269 (23.4%)</w:t>
            </w:r>
          </w:p>
        </w:tc>
        <w:tc>
          <w:tcPr>
            <w:tcW w:type="dxa" w:w="1560"/>
          </w:tcPr>
          <w:p>
            <w:r/>
            <w:r>
              <w:rPr>
                <w:rFonts w:ascii="Times New Roman" w:hAnsi="Times New Roman"/>
                <w:sz w:val="18"/>
              </w:rPr>
              <w:t>1,187 (33.2%)</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Path-proven recurrence (PRIMARY)</w:t>
            </w:r>
          </w:p>
        </w:tc>
        <w:tc>
          <w:tcPr>
            <w:tcW w:type="dxa" w:w="1560"/>
          </w:tcPr>
          <w:p>
            <w:r/>
            <w:r>
              <w:rPr>
                <w:rFonts w:ascii="Times New Roman" w:hAnsi="Times New Roman"/>
                <w:sz w:val="18"/>
              </w:rPr>
              <w:t>3 (4.4%)</w:t>
            </w:r>
          </w:p>
        </w:tc>
        <w:tc>
          <w:tcPr>
            <w:tcW w:type="dxa" w:w="1560"/>
          </w:tcPr>
          <w:p>
            <w:r/>
            <w:r>
              <w:rPr>
                <w:rFonts w:ascii="Times New Roman" w:hAnsi="Times New Roman"/>
                <w:sz w:val="18"/>
              </w:rPr>
              <w:t>45 (1.9%)</w:t>
            </w:r>
          </w:p>
        </w:tc>
        <w:tc>
          <w:tcPr>
            <w:tcW w:type="dxa" w:w="1560"/>
          </w:tcPr>
          <w:p>
            <w:r/>
            <w:r>
              <w:rPr>
                <w:rFonts w:ascii="Times New Roman" w:hAnsi="Times New Roman"/>
                <w:sz w:val="18"/>
              </w:rPr>
              <w:t>57 (5.0%)</w:t>
            </w:r>
          </w:p>
        </w:tc>
        <w:tc>
          <w:tcPr>
            <w:tcW w:type="dxa" w:w="1560"/>
          </w:tcPr>
          <w:p>
            <w:r/>
            <w:r>
              <w:rPr>
                <w:rFonts w:ascii="Times New Roman" w:hAnsi="Times New Roman"/>
                <w:sz w:val="18"/>
              </w:rPr>
              <w:t>105 (2.9%)</w:t>
            </w:r>
          </w:p>
        </w:tc>
        <w:tc>
          <w:tcPr>
            <w:tcW w:type="dxa" w:w="1560"/>
          </w:tcPr>
          <w:p>
            <w:r/>
            <w:r>
              <w:rPr>
                <w:rFonts w:ascii="Times New Roman" w:hAnsi="Times New Roman"/>
                <w:sz w:val="18"/>
              </w:rPr>
              <w:t>&lt;0.001</w:t>
            </w:r>
          </w:p>
        </w:tc>
      </w:tr>
      <w:tr>
        <w:tc>
          <w:tcPr>
            <w:tcW w:type="dxa" w:w="1560"/>
          </w:tcPr>
          <w:p>
            <w:r/>
            <w:r>
              <w:rPr>
                <w:rFonts w:ascii="Times New Roman" w:hAnsi="Times New Roman"/>
                <w:sz w:val="18"/>
              </w:rPr>
              <w:t>Composite recurrence</w:t>
            </w:r>
          </w:p>
        </w:tc>
        <w:tc>
          <w:tcPr>
            <w:tcW w:type="dxa" w:w="1560"/>
          </w:tcPr>
          <w:p>
            <w:r/>
            <w:r>
              <w:rPr>
                <w:rFonts w:ascii="Times New Roman" w:hAnsi="Times New Roman"/>
                <w:sz w:val="18"/>
              </w:rPr>
              <w:t>4 (5.9%)</w:t>
            </w:r>
          </w:p>
        </w:tc>
        <w:tc>
          <w:tcPr>
            <w:tcW w:type="dxa" w:w="1560"/>
          </w:tcPr>
          <w:p>
            <w:r/>
            <w:r>
              <w:rPr>
                <w:rFonts w:ascii="Times New Roman" w:hAnsi="Times New Roman"/>
                <w:sz w:val="18"/>
              </w:rPr>
              <w:t>116 (4.9%)</w:t>
            </w:r>
          </w:p>
        </w:tc>
        <w:tc>
          <w:tcPr>
            <w:tcW w:type="dxa" w:w="1560"/>
          </w:tcPr>
          <w:p>
            <w:r/>
            <w:r>
              <w:rPr>
                <w:rFonts w:ascii="Times New Roman" w:hAnsi="Times New Roman"/>
                <w:sz w:val="18"/>
              </w:rPr>
              <w:t>121 (10.5%)</w:t>
            </w:r>
          </w:p>
        </w:tc>
        <w:tc>
          <w:tcPr>
            <w:tcW w:type="dxa" w:w="1560"/>
          </w:tcPr>
          <w:p>
            <w:r/>
            <w:r>
              <w:rPr>
                <w:rFonts w:ascii="Times New Roman" w:hAnsi="Times New Roman"/>
                <w:sz w:val="18"/>
              </w:rPr>
              <w:t>241 (6.7%)</w:t>
            </w:r>
          </w:p>
        </w:tc>
        <w:tc>
          <w:tcPr>
            <w:tcW w:type="dxa" w:w="1560"/>
          </w:tcPr>
          <w:p>
            <w:r/>
            <w:r>
              <w:rPr>
                <w:rFonts w:ascii="Times New Roman" w:hAnsi="Times New Roman"/>
                <w:sz w:val="18"/>
              </w:rPr>
              <w:t>&lt;0.001</w:t>
            </w:r>
          </w:p>
        </w:tc>
      </w:tr>
    </w:tbl>
    <w:p>
      <w:r>
        <w:rPr>
          <w:rFonts w:ascii="Times New Roman" w:hAnsi="Times New Roman"/>
          <w:b w:val="0"/>
          <w:i/>
          <w:sz w:val="22"/>
        </w:rPr>
        <w:t>Continuous variables compared by Kruskal–Wallis test; categorical variables compared by chi-square test. RAI is shown as a descriptive baseline characteristic and is not a covariate in the primary regression.</w:t>
      </w:r>
    </w:p>
    <w:p>
      <w:r>
        <w:br w:type="page"/>
      </w:r>
    </w:p>
    <w:p>
      <w:r>
        <w:rPr>
          <w:rFonts w:ascii="Times New Roman" w:hAnsi="Times New Roman"/>
          <w:b/>
          <w:sz w:val="22"/>
        </w:rPr>
        <w:t xml:space="preserve">Table 2. </w:t>
      </w:r>
      <w:r>
        <w:rPr>
          <w:rFonts w:ascii="Times New Roman" w:hAnsi="Times New Roman"/>
          <w:sz w:val="22"/>
        </w:rPr>
        <w:t>Primary multivariable logistic regression for path-proven recurrence (N = 3,572; 105 events).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8"/>
              </w:rPr>
              <w:t>Variable</w:t>
            </w:r>
          </w:p>
        </w:tc>
        <w:tc>
          <w:tcPr>
            <w:tcW w:type="dxa" w:w="2340"/>
          </w:tcPr>
          <w:p>
            <w:r/>
            <w:r>
              <w:rPr>
                <w:rFonts w:ascii="Times New Roman" w:hAnsi="Times New Roman"/>
                <w:b/>
                <w:sz w:val="18"/>
              </w:rPr>
              <w:t>aOR</w:t>
            </w:r>
          </w:p>
        </w:tc>
        <w:tc>
          <w:tcPr>
            <w:tcW w:type="dxa" w:w="2340"/>
          </w:tcPr>
          <w:p>
            <w:r/>
            <w:r>
              <w:rPr>
                <w:rFonts w:ascii="Times New Roman" w:hAnsi="Times New Roman"/>
                <w:b/>
                <w:sz w:val="18"/>
              </w:rPr>
              <w:t>95% CI</w:t>
            </w:r>
          </w:p>
        </w:tc>
        <w:tc>
          <w:tcPr>
            <w:tcW w:type="dxa" w:w="2340"/>
          </w:tcPr>
          <w:p>
            <w:r/>
            <w:r>
              <w:rPr>
                <w:rFonts w:ascii="Times New Roman" w:hAnsi="Times New Roman"/>
                <w:b/>
                <w:sz w:val="18"/>
              </w:rPr>
              <w:t>p</w:t>
            </w:r>
          </w:p>
        </w:tc>
      </w:tr>
      <w:tr>
        <w:tc>
          <w:tcPr>
            <w:tcW w:type="dxa" w:w="2340"/>
          </w:tcPr>
          <w:p>
            <w:r/>
            <w:r>
              <w:rPr>
                <w:rFonts w:ascii="Times New Roman" w:hAnsi="Times New Roman"/>
                <w:sz w:val="18"/>
              </w:rPr>
              <w:t>ETE: Gross vs Microscopic (ref)</w:t>
            </w:r>
          </w:p>
        </w:tc>
        <w:tc>
          <w:tcPr>
            <w:tcW w:type="dxa" w:w="2340"/>
          </w:tcPr>
          <w:p>
            <w:r/>
            <w:r>
              <w:rPr>
                <w:rFonts w:ascii="Times New Roman" w:hAnsi="Times New Roman"/>
                <w:sz w:val="18"/>
              </w:rPr>
              <w:t>1.77</w:t>
            </w:r>
          </w:p>
        </w:tc>
        <w:tc>
          <w:tcPr>
            <w:tcW w:type="dxa" w:w="2340"/>
          </w:tcPr>
          <w:p>
            <w:r/>
            <w:r>
              <w:rPr>
                <w:rFonts w:ascii="Times New Roman" w:hAnsi="Times New Roman"/>
                <w:sz w:val="18"/>
              </w:rPr>
              <w:t>1.15–2.71</w:t>
            </w:r>
          </w:p>
        </w:tc>
        <w:tc>
          <w:tcPr>
            <w:tcW w:type="dxa" w:w="2340"/>
          </w:tcPr>
          <w:p>
            <w:r/>
            <w:r>
              <w:rPr>
                <w:rFonts w:ascii="Times New Roman" w:hAnsi="Times New Roman"/>
                <w:sz w:val="18"/>
              </w:rPr>
              <w:t>0.009</w:t>
            </w:r>
          </w:p>
        </w:tc>
      </w:tr>
      <w:tr>
        <w:tc>
          <w:tcPr>
            <w:tcW w:type="dxa" w:w="2340"/>
          </w:tcPr>
          <w:p>
            <w:r/>
            <w:r>
              <w:rPr>
                <w:rFonts w:ascii="Times New Roman" w:hAnsi="Times New Roman"/>
                <w:sz w:val="18"/>
              </w:rPr>
              <w:t>ETE: No/negative vs Microscopic</w:t>
            </w:r>
          </w:p>
        </w:tc>
        <w:tc>
          <w:tcPr>
            <w:tcW w:type="dxa" w:w="2340"/>
          </w:tcPr>
          <w:p>
            <w:r/>
            <w:r>
              <w:rPr>
                <w:rFonts w:ascii="Times New Roman" w:hAnsi="Times New Roman"/>
                <w:sz w:val="18"/>
              </w:rPr>
              <w:t>2.72</w:t>
            </w:r>
          </w:p>
        </w:tc>
        <w:tc>
          <w:tcPr>
            <w:tcW w:type="dxa" w:w="2340"/>
          </w:tcPr>
          <w:p>
            <w:r/>
            <w:r>
              <w:rPr>
                <w:rFonts w:ascii="Times New Roman" w:hAnsi="Times New Roman"/>
                <w:sz w:val="18"/>
              </w:rPr>
              <w:t>0.80–9.30</w:t>
            </w:r>
          </w:p>
        </w:tc>
        <w:tc>
          <w:tcPr>
            <w:tcW w:type="dxa" w:w="2340"/>
          </w:tcPr>
          <w:p>
            <w:r/>
            <w:r>
              <w:rPr>
                <w:rFonts w:ascii="Times New Roman" w:hAnsi="Times New Roman"/>
                <w:sz w:val="18"/>
              </w:rPr>
              <w:t>0.111</w:t>
            </w:r>
          </w:p>
        </w:tc>
      </w:tr>
      <w:tr>
        <w:tc>
          <w:tcPr>
            <w:tcW w:type="dxa" w:w="2340"/>
          </w:tcPr>
          <w:p>
            <w:r/>
            <w:r>
              <w:rPr>
                <w:rFonts w:ascii="Times New Roman" w:hAnsi="Times New Roman"/>
                <w:sz w:val="18"/>
              </w:rPr>
              <w:t>Age, per 10 y</w:t>
            </w:r>
          </w:p>
        </w:tc>
        <w:tc>
          <w:tcPr>
            <w:tcW w:type="dxa" w:w="2340"/>
          </w:tcPr>
          <w:p>
            <w:r/>
            <w:r>
              <w:rPr>
                <w:rFonts w:ascii="Times New Roman" w:hAnsi="Times New Roman"/>
                <w:sz w:val="18"/>
              </w:rPr>
              <w:t>0.98</w:t>
            </w:r>
          </w:p>
        </w:tc>
        <w:tc>
          <w:tcPr>
            <w:tcW w:type="dxa" w:w="2340"/>
          </w:tcPr>
          <w:p>
            <w:r/>
            <w:r>
              <w:rPr>
                <w:rFonts w:ascii="Times New Roman" w:hAnsi="Times New Roman"/>
                <w:sz w:val="18"/>
              </w:rPr>
              <w:t>0.86–1.11</w:t>
            </w:r>
          </w:p>
        </w:tc>
        <w:tc>
          <w:tcPr>
            <w:tcW w:type="dxa" w:w="2340"/>
          </w:tcPr>
          <w:p>
            <w:r/>
            <w:r>
              <w:rPr>
                <w:rFonts w:ascii="Times New Roman" w:hAnsi="Times New Roman"/>
                <w:sz w:val="18"/>
              </w:rPr>
              <w:t>0.702</w:t>
            </w:r>
          </w:p>
        </w:tc>
      </w:tr>
      <w:tr>
        <w:tc>
          <w:tcPr>
            <w:tcW w:type="dxa" w:w="2340"/>
          </w:tcPr>
          <w:p>
            <w:r/>
            <w:r>
              <w:rPr>
                <w:rFonts w:ascii="Times New Roman" w:hAnsi="Times New Roman"/>
                <w:sz w:val="18"/>
              </w:rPr>
              <w:t>Female sex</w:t>
            </w:r>
          </w:p>
        </w:tc>
        <w:tc>
          <w:tcPr>
            <w:tcW w:type="dxa" w:w="2340"/>
          </w:tcPr>
          <w:p>
            <w:r/>
            <w:r>
              <w:rPr>
                <w:rFonts w:ascii="Times New Roman" w:hAnsi="Times New Roman"/>
                <w:sz w:val="18"/>
              </w:rPr>
              <w:t>0.70</w:t>
            </w:r>
          </w:p>
        </w:tc>
        <w:tc>
          <w:tcPr>
            <w:tcW w:type="dxa" w:w="2340"/>
          </w:tcPr>
          <w:p>
            <w:r/>
            <w:r>
              <w:rPr>
                <w:rFonts w:ascii="Times New Roman" w:hAnsi="Times New Roman"/>
                <w:sz w:val="18"/>
              </w:rPr>
              <w:t>0.46–1.08</w:t>
            </w:r>
          </w:p>
        </w:tc>
        <w:tc>
          <w:tcPr>
            <w:tcW w:type="dxa" w:w="2340"/>
          </w:tcPr>
          <w:p>
            <w:r/>
            <w:r>
              <w:rPr>
                <w:rFonts w:ascii="Times New Roman" w:hAnsi="Times New Roman"/>
                <w:sz w:val="18"/>
              </w:rPr>
              <w:t>0.106</w:t>
            </w:r>
          </w:p>
        </w:tc>
      </w:tr>
      <w:tr>
        <w:tc>
          <w:tcPr>
            <w:tcW w:type="dxa" w:w="2340"/>
          </w:tcPr>
          <w:p>
            <w:r/>
            <w:r>
              <w:rPr>
                <w:rFonts w:ascii="Times New Roman" w:hAnsi="Times New Roman"/>
                <w:sz w:val="18"/>
              </w:rPr>
              <w:t>ln(1 + tumor size, cm)</w:t>
            </w:r>
          </w:p>
        </w:tc>
        <w:tc>
          <w:tcPr>
            <w:tcW w:type="dxa" w:w="2340"/>
          </w:tcPr>
          <w:p>
            <w:r/>
            <w:r>
              <w:rPr>
                <w:rFonts w:ascii="Times New Roman" w:hAnsi="Times New Roman"/>
                <w:sz w:val="18"/>
              </w:rPr>
              <w:t>1.93</w:t>
            </w:r>
          </w:p>
        </w:tc>
        <w:tc>
          <w:tcPr>
            <w:tcW w:type="dxa" w:w="2340"/>
          </w:tcPr>
          <w:p>
            <w:r/>
            <w:r>
              <w:rPr>
                <w:rFonts w:ascii="Times New Roman" w:hAnsi="Times New Roman"/>
                <w:sz w:val="18"/>
              </w:rPr>
              <w:t>1.27–2.92</w:t>
            </w:r>
          </w:p>
        </w:tc>
        <w:tc>
          <w:tcPr>
            <w:tcW w:type="dxa" w:w="2340"/>
          </w:tcPr>
          <w:p>
            <w:r/>
            <w:r>
              <w:rPr>
                <w:rFonts w:ascii="Times New Roman" w:hAnsi="Times New Roman"/>
                <w:sz w:val="18"/>
              </w:rPr>
              <w:t>0.002</w:t>
            </w:r>
          </w:p>
        </w:tc>
      </w:tr>
      <w:tr>
        <w:tc>
          <w:tcPr>
            <w:tcW w:type="dxa" w:w="2340"/>
          </w:tcPr>
          <w:p>
            <w:r/>
            <w:r>
              <w:rPr>
                <w:rFonts w:ascii="Times New Roman" w:hAnsi="Times New Roman"/>
                <w:sz w:val="18"/>
              </w:rPr>
              <w:t>AJCC N1a vs N0</w:t>
            </w:r>
          </w:p>
        </w:tc>
        <w:tc>
          <w:tcPr>
            <w:tcW w:type="dxa" w:w="2340"/>
          </w:tcPr>
          <w:p>
            <w:r/>
            <w:r>
              <w:rPr>
                <w:rFonts w:ascii="Times New Roman" w:hAnsi="Times New Roman"/>
                <w:sz w:val="18"/>
              </w:rPr>
              <w:t>0.96</w:t>
            </w:r>
          </w:p>
        </w:tc>
        <w:tc>
          <w:tcPr>
            <w:tcW w:type="dxa" w:w="2340"/>
          </w:tcPr>
          <w:p>
            <w:r/>
            <w:r>
              <w:rPr>
                <w:rFonts w:ascii="Times New Roman" w:hAnsi="Times New Roman"/>
                <w:sz w:val="18"/>
              </w:rPr>
              <w:t>0.61–1.53</w:t>
            </w:r>
          </w:p>
        </w:tc>
        <w:tc>
          <w:tcPr>
            <w:tcW w:type="dxa" w:w="2340"/>
          </w:tcPr>
          <w:p>
            <w:r/>
            <w:r>
              <w:rPr>
                <w:rFonts w:ascii="Times New Roman" w:hAnsi="Times New Roman"/>
                <w:sz w:val="18"/>
              </w:rPr>
              <w:t>0.877</w:t>
            </w:r>
          </w:p>
        </w:tc>
      </w:tr>
      <w:tr>
        <w:tc>
          <w:tcPr>
            <w:tcW w:type="dxa" w:w="2340"/>
          </w:tcPr>
          <w:p>
            <w:r/>
            <w:r>
              <w:rPr>
                <w:rFonts w:ascii="Times New Roman" w:hAnsi="Times New Roman"/>
                <w:sz w:val="18"/>
              </w:rPr>
              <w:t>AJCC N1b vs N0</w:t>
            </w:r>
          </w:p>
        </w:tc>
        <w:tc>
          <w:tcPr>
            <w:tcW w:type="dxa" w:w="2340"/>
          </w:tcPr>
          <w:p>
            <w:r/>
            <w:r>
              <w:rPr>
                <w:rFonts w:ascii="Times New Roman" w:hAnsi="Times New Roman"/>
                <w:sz w:val="18"/>
              </w:rPr>
              <w:t>2.24</w:t>
            </w:r>
          </w:p>
        </w:tc>
        <w:tc>
          <w:tcPr>
            <w:tcW w:type="dxa" w:w="2340"/>
          </w:tcPr>
          <w:p>
            <w:r/>
            <w:r>
              <w:rPr>
                <w:rFonts w:ascii="Times New Roman" w:hAnsi="Times New Roman"/>
                <w:sz w:val="18"/>
              </w:rPr>
              <w:t>0.83–6.03</w:t>
            </w:r>
          </w:p>
        </w:tc>
        <w:tc>
          <w:tcPr>
            <w:tcW w:type="dxa" w:w="2340"/>
          </w:tcPr>
          <w:p>
            <w:r/>
            <w:r>
              <w:rPr>
                <w:rFonts w:ascii="Times New Roman" w:hAnsi="Times New Roman"/>
                <w:sz w:val="18"/>
              </w:rPr>
              <w:t>0.110</w:t>
            </w:r>
          </w:p>
        </w:tc>
      </w:tr>
      <w:tr>
        <w:tc>
          <w:tcPr>
            <w:tcW w:type="dxa" w:w="2340"/>
          </w:tcPr>
          <w:p>
            <w:r/>
            <w:r>
              <w:rPr>
                <w:rFonts w:ascii="Times New Roman" w:hAnsi="Times New Roman"/>
                <w:sz w:val="18"/>
              </w:rPr>
              <w:t>AJCC Nx vs N0</w:t>
            </w:r>
          </w:p>
        </w:tc>
        <w:tc>
          <w:tcPr>
            <w:tcW w:type="dxa" w:w="2340"/>
          </w:tcPr>
          <w:p>
            <w:r/>
            <w:r>
              <w:rPr>
                <w:rFonts w:ascii="Times New Roman" w:hAnsi="Times New Roman"/>
                <w:sz w:val="18"/>
              </w:rPr>
              <w:t>quasi-separation</w:t>
            </w:r>
          </w:p>
        </w:tc>
        <w:tc>
          <w:tcPr>
            <w:tcW w:type="dxa" w:w="2340"/>
          </w:tcPr>
          <w:p>
            <w:r/>
            <w:r>
              <w:rPr>
                <w:rFonts w:ascii="Times New Roman" w:hAnsi="Times New Roman"/>
                <w:sz w:val="18"/>
              </w:rPr>
              <w:t>—</w:t>
            </w:r>
          </w:p>
        </w:tc>
        <w:tc>
          <w:tcPr>
            <w:tcW w:type="dxa" w:w="2340"/>
          </w:tcPr>
          <w:p>
            <w:r/>
            <w:r>
              <w:rPr>
                <w:rFonts w:ascii="Times New Roman" w:hAnsi="Times New Roman"/>
                <w:sz w:val="18"/>
              </w:rPr>
              <w:t>—</w:t>
            </w:r>
          </w:p>
        </w:tc>
      </w:tr>
      <w:tr>
        <w:tc>
          <w:tcPr>
            <w:tcW w:type="dxa" w:w="2340"/>
          </w:tcPr>
          <w:p>
            <w:r/>
            <w:r>
              <w:rPr>
                <w:rFonts w:ascii="Times New Roman" w:hAnsi="Times New Roman"/>
                <w:sz w:val="18"/>
              </w:rPr>
              <w:t>FTC vs PTC</w:t>
            </w:r>
          </w:p>
        </w:tc>
        <w:tc>
          <w:tcPr>
            <w:tcW w:type="dxa" w:w="2340"/>
          </w:tcPr>
          <w:p>
            <w:r/>
            <w:r>
              <w:rPr>
                <w:rFonts w:ascii="Times New Roman" w:hAnsi="Times New Roman"/>
                <w:sz w:val="18"/>
              </w:rPr>
              <w:t>0.31</w:t>
            </w:r>
          </w:p>
        </w:tc>
        <w:tc>
          <w:tcPr>
            <w:tcW w:type="dxa" w:w="2340"/>
          </w:tcPr>
          <w:p>
            <w:r/>
            <w:r>
              <w:rPr>
                <w:rFonts w:ascii="Times New Roman" w:hAnsi="Times New Roman"/>
                <w:sz w:val="18"/>
              </w:rPr>
              <w:t>0.14–0.71</w:t>
            </w:r>
          </w:p>
        </w:tc>
        <w:tc>
          <w:tcPr>
            <w:tcW w:type="dxa" w:w="2340"/>
          </w:tcPr>
          <w:p>
            <w:r/>
            <w:r>
              <w:rPr>
                <w:rFonts w:ascii="Times New Roman" w:hAnsi="Times New Roman"/>
                <w:sz w:val="18"/>
              </w:rPr>
              <w:t>0.006</w:t>
            </w:r>
          </w:p>
        </w:tc>
      </w:tr>
      <w:tr>
        <w:tc>
          <w:tcPr>
            <w:tcW w:type="dxa" w:w="2340"/>
          </w:tcPr>
          <w:p>
            <w:r/>
            <w:r>
              <w:rPr>
                <w:rFonts w:ascii="Times New Roman" w:hAnsi="Times New Roman"/>
                <w:sz w:val="18"/>
              </w:rPr>
              <w:t>Poorly-diff DTC vs PTC</w:t>
            </w:r>
          </w:p>
        </w:tc>
        <w:tc>
          <w:tcPr>
            <w:tcW w:type="dxa" w:w="2340"/>
          </w:tcPr>
          <w:p>
            <w:r/>
            <w:r>
              <w:rPr>
                <w:rFonts w:ascii="Times New Roman" w:hAnsi="Times New Roman"/>
                <w:sz w:val="18"/>
              </w:rPr>
              <w:t>1.37</w:t>
            </w:r>
          </w:p>
        </w:tc>
        <w:tc>
          <w:tcPr>
            <w:tcW w:type="dxa" w:w="2340"/>
          </w:tcPr>
          <w:p>
            <w:r/>
            <w:r>
              <w:rPr>
                <w:rFonts w:ascii="Times New Roman" w:hAnsi="Times New Roman"/>
                <w:sz w:val="18"/>
              </w:rPr>
              <w:t>0.44–4.34</w:t>
            </w:r>
          </w:p>
        </w:tc>
        <w:tc>
          <w:tcPr>
            <w:tcW w:type="dxa" w:w="2340"/>
          </w:tcPr>
          <w:p>
            <w:r/>
            <w:r>
              <w:rPr>
                <w:rFonts w:ascii="Times New Roman" w:hAnsi="Times New Roman"/>
                <w:sz w:val="18"/>
              </w:rPr>
              <w:t>0.587</w:t>
            </w:r>
          </w:p>
        </w:tc>
      </w:tr>
      <w:tr>
        <w:tc>
          <w:tcPr>
            <w:tcW w:type="dxa" w:w="2340"/>
          </w:tcPr>
          <w:p>
            <w:r/>
            <w:r>
              <w:rPr>
                <w:rFonts w:ascii="Times New Roman" w:hAnsi="Times New Roman"/>
                <w:sz w:val="18"/>
              </w:rPr>
              <w:t>High-grade DTC vs PTC</w:t>
            </w:r>
          </w:p>
        </w:tc>
        <w:tc>
          <w:tcPr>
            <w:tcW w:type="dxa" w:w="2340"/>
          </w:tcPr>
          <w:p>
            <w:r/>
            <w:r>
              <w:rPr>
                <w:rFonts w:ascii="Times New Roman" w:hAnsi="Times New Roman"/>
                <w:sz w:val="18"/>
              </w:rPr>
              <w:t>quasi-separation</w:t>
            </w:r>
          </w:p>
        </w:tc>
        <w:tc>
          <w:tcPr>
            <w:tcW w:type="dxa" w:w="2340"/>
          </w:tcPr>
          <w:p>
            <w:r/>
            <w:r>
              <w:rPr>
                <w:rFonts w:ascii="Times New Roman" w:hAnsi="Times New Roman"/>
                <w:sz w:val="18"/>
              </w:rPr>
              <w:t>—</w:t>
            </w:r>
          </w:p>
        </w:tc>
        <w:tc>
          <w:tcPr>
            <w:tcW w:type="dxa" w:w="2340"/>
          </w:tcPr>
          <w:p>
            <w:r/>
            <w:r>
              <w:rPr>
                <w:rFonts w:ascii="Times New Roman" w:hAnsi="Times New Roman"/>
                <w:sz w:val="18"/>
              </w:rPr>
              <w:t>—</w:t>
            </w:r>
          </w:p>
        </w:tc>
      </w:tr>
      <w:tr>
        <w:tc>
          <w:tcPr>
            <w:tcW w:type="dxa" w:w="2340"/>
          </w:tcPr>
          <w:p>
            <w:r/>
            <w:r>
              <w:rPr>
                <w:rFonts w:ascii="Times New Roman" w:hAnsi="Times New Roman"/>
                <w:sz w:val="18"/>
              </w:rPr>
              <w:t>Lymphatic: present vs missing</w:t>
            </w:r>
          </w:p>
        </w:tc>
        <w:tc>
          <w:tcPr>
            <w:tcW w:type="dxa" w:w="2340"/>
          </w:tcPr>
          <w:p>
            <w:r/>
            <w:r>
              <w:rPr>
                <w:rFonts w:ascii="Times New Roman" w:hAnsi="Times New Roman"/>
                <w:sz w:val="18"/>
              </w:rPr>
              <w:t>0.87</w:t>
            </w:r>
          </w:p>
        </w:tc>
        <w:tc>
          <w:tcPr>
            <w:tcW w:type="dxa" w:w="2340"/>
          </w:tcPr>
          <w:p>
            <w:r/>
            <w:r>
              <w:rPr>
                <w:rFonts w:ascii="Times New Roman" w:hAnsi="Times New Roman"/>
                <w:sz w:val="18"/>
              </w:rPr>
              <w:t>0.47–1.61</w:t>
            </w:r>
          </w:p>
        </w:tc>
        <w:tc>
          <w:tcPr>
            <w:tcW w:type="dxa" w:w="2340"/>
          </w:tcPr>
          <w:p>
            <w:r/>
            <w:r>
              <w:rPr>
                <w:rFonts w:ascii="Times New Roman" w:hAnsi="Times New Roman"/>
                <w:sz w:val="18"/>
              </w:rPr>
              <w:t>0.657</w:t>
            </w:r>
          </w:p>
        </w:tc>
      </w:tr>
      <w:tr>
        <w:tc>
          <w:tcPr>
            <w:tcW w:type="dxa" w:w="2340"/>
          </w:tcPr>
          <w:p>
            <w:r/>
            <w:r>
              <w:rPr>
                <w:rFonts w:ascii="Times New Roman" w:hAnsi="Times New Roman"/>
                <w:sz w:val="18"/>
              </w:rPr>
              <w:t>Lymphatic: extensive vs missing</w:t>
            </w:r>
          </w:p>
        </w:tc>
        <w:tc>
          <w:tcPr>
            <w:tcW w:type="dxa" w:w="2340"/>
          </w:tcPr>
          <w:p>
            <w:r/>
            <w:r>
              <w:rPr>
                <w:rFonts w:ascii="Times New Roman" w:hAnsi="Times New Roman"/>
                <w:sz w:val="18"/>
              </w:rPr>
              <w:t>2.45</w:t>
            </w:r>
          </w:p>
        </w:tc>
        <w:tc>
          <w:tcPr>
            <w:tcW w:type="dxa" w:w="2340"/>
          </w:tcPr>
          <w:p>
            <w:r/>
            <w:r>
              <w:rPr>
                <w:rFonts w:ascii="Times New Roman" w:hAnsi="Times New Roman"/>
                <w:sz w:val="18"/>
              </w:rPr>
              <w:t>0.92–6.52</w:t>
            </w:r>
          </w:p>
        </w:tc>
        <w:tc>
          <w:tcPr>
            <w:tcW w:type="dxa" w:w="2340"/>
          </w:tcPr>
          <w:p>
            <w:r/>
            <w:r>
              <w:rPr>
                <w:rFonts w:ascii="Times New Roman" w:hAnsi="Times New Roman"/>
                <w:sz w:val="18"/>
              </w:rPr>
              <w:t>0.073</w:t>
            </w:r>
          </w:p>
        </w:tc>
      </w:tr>
      <w:tr>
        <w:tc>
          <w:tcPr>
            <w:tcW w:type="dxa" w:w="2340"/>
          </w:tcPr>
          <w:p>
            <w:r/>
            <w:r>
              <w:rPr>
                <w:rFonts w:ascii="Times New Roman" w:hAnsi="Times New Roman"/>
                <w:sz w:val="18"/>
              </w:rPr>
              <w:t>Lymphatic: focal vs missing</w:t>
            </w:r>
          </w:p>
        </w:tc>
        <w:tc>
          <w:tcPr>
            <w:tcW w:type="dxa" w:w="2340"/>
          </w:tcPr>
          <w:p>
            <w:r/>
            <w:r>
              <w:rPr>
                <w:rFonts w:ascii="Times New Roman" w:hAnsi="Times New Roman"/>
                <w:sz w:val="18"/>
              </w:rPr>
              <w:t>quasi-separation</w:t>
            </w:r>
          </w:p>
        </w:tc>
        <w:tc>
          <w:tcPr>
            <w:tcW w:type="dxa" w:w="2340"/>
          </w:tcPr>
          <w:p>
            <w:r/>
            <w:r>
              <w:rPr>
                <w:rFonts w:ascii="Times New Roman" w:hAnsi="Times New Roman"/>
                <w:sz w:val="18"/>
              </w:rPr>
              <w:t>—</w:t>
            </w:r>
          </w:p>
        </w:tc>
        <w:tc>
          <w:tcPr>
            <w:tcW w:type="dxa" w:w="2340"/>
          </w:tcPr>
          <w:p>
            <w:r/>
            <w:r>
              <w:rPr>
                <w:rFonts w:ascii="Times New Roman" w:hAnsi="Times New Roman"/>
                <w:sz w:val="18"/>
              </w:rPr>
              <w:t>—</w:t>
            </w:r>
          </w:p>
        </w:tc>
      </w:tr>
      <w:tr>
        <w:tc>
          <w:tcPr>
            <w:tcW w:type="dxa" w:w="2340"/>
          </w:tcPr>
          <w:p>
            <w:r/>
            <w:r>
              <w:rPr>
                <w:rFonts w:ascii="Times New Roman" w:hAnsi="Times New Roman"/>
                <w:sz w:val="18"/>
              </w:rPr>
              <w:t>Lymphatic: indeterminate vs missing</w:t>
            </w:r>
          </w:p>
        </w:tc>
        <w:tc>
          <w:tcPr>
            <w:tcW w:type="dxa" w:w="2340"/>
          </w:tcPr>
          <w:p>
            <w:r/>
            <w:r>
              <w:rPr>
                <w:rFonts w:ascii="Times New Roman" w:hAnsi="Times New Roman"/>
                <w:sz w:val="18"/>
              </w:rPr>
              <w:t>0.93</w:t>
            </w:r>
          </w:p>
        </w:tc>
        <w:tc>
          <w:tcPr>
            <w:tcW w:type="dxa" w:w="2340"/>
          </w:tcPr>
          <w:p>
            <w:r/>
            <w:r>
              <w:rPr>
                <w:rFonts w:ascii="Times New Roman" w:hAnsi="Times New Roman"/>
                <w:sz w:val="18"/>
              </w:rPr>
              <w:t>0.34–2.56</w:t>
            </w:r>
          </w:p>
        </w:tc>
        <w:tc>
          <w:tcPr>
            <w:tcW w:type="dxa" w:w="2340"/>
          </w:tcPr>
          <w:p>
            <w:r/>
            <w:r>
              <w:rPr>
                <w:rFonts w:ascii="Times New Roman" w:hAnsi="Times New Roman"/>
                <w:sz w:val="18"/>
              </w:rPr>
              <w:t>0.892</w:t>
            </w:r>
          </w:p>
        </w:tc>
      </w:tr>
      <w:tr>
        <w:tc>
          <w:tcPr>
            <w:tcW w:type="dxa" w:w="2340"/>
          </w:tcPr>
          <w:p>
            <w:r/>
            <w:r>
              <w:rPr>
                <w:rFonts w:ascii="Times New Roman" w:hAnsi="Times New Roman"/>
                <w:sz w:val="18"/>
              </w:rPr>
              <w:t>Vascular: present-ungraded vs missing</w:t>
            </w:r>
          </w:p>
        </w:tc>
        <w:tc>
          <w:tcPr>
            <w:tcW w:type="dxa" w:w="2340"/>
          </w:tcPr>
          <w:p>
            <w:r/>
            <w:r>
              <w:rPr>
                <w:rFonts w:ascii="Times New Roman" w:hAnsi="Times New Roman"/>
                <w:sz w:val="18"/>
              </w:rPr>
              <w:t>1.66</w:t>
            </w:r>
          </w:p>
        </w:tc>
        <w:tc>
          <w:tcPr>
            <w:tcW w:type="dxa" w:w="2340"/>
          </w:tcPr>
          <w:p>
            <w:r/>
            <w:r>
              <w:rPr>
                <w:rFonts w:ascii="Times New Roman" w:hAnsi="Times New Roman"/>
                <w:sz w:val="18"/>
              </w:rPr>
              <w:t>0.88–3.16</w:t>
            </w:r>
          </w:p>
        </w:tc>
        <w:tc>
          <w:tcPr>
            <w:tcW w:type="dxa" w:w="2340"/>
          </w:tcPr>
          <w:p>
            <w:r/>
            <w:r>
              <w:rPr>
                <w:rFonts w:ascii="Times New Roman" w:hAnsi="Times New Roman"/>
                <w:sz w:val="18"/>
              </w:rPr>
              <w:t>0.120</w:t>
            </w:r>
          </w:p>
        </w:tc>
      </w:tr>
      <w:tr>
        <w:tc>
          <w:tcPr>
            <w:tcW w:type="dxa" w:w="2340"/>
          </w:tcPr>
          <w:p>
            <w:r/>
            <w:r>
              <w:rPr>
                <w:rFonts w:ascii="Times New Roman" w:hAnsi="Times New Roman"/>
                <w:sz w:val="18"/>
              </w:rPr>
              <w:t>Vascular: extensive vs missing</w:t>
            </w:r>
          </w:p>
        </w:tc>
        <w:tc>
          <w:tcPr>
            <w:tcW w:type="dxa" w:w="2340"/>
          </w:tcPr>
          <w:p>
            <w:r/>
            <w:r>
              <w:rPr>
                <w:rFonts w:ascii="Times New Roman" w:hAnsi="Times New Roman"/>
                <w:sz w:val="18"/>
              </w:rPr>
              <w:t>1.98</w:t>
            </w:r>
          </w:p>
        </w:tc>
        <w:tc>
          <w:tcPr>
            <w:tcW w:type="dxa" w:w="2340"/>
          </w:tcPr>
          <w:p>
            <w:r/>
            <w:r>
              <w:rPr>
                <w:rFonts w:ascii="Times New Roman" w:hAnsi="Times New Roman"/>
                <w:sz w:val="18"/>
              </w:rPr>
              <w:t>0.80–4.93</w:t>
            </w:r>
          </w:p>
        </w:tc>
        <w:tc>
          <w:tcPr>
            <w:tcW w:type="dxa" w:w="2340"/>
          </w:tcPr>
          <w:p>
            <w:r/>
            <w:r>
              <w:rPr>
                <w:rFonts w:ascii="Times New Roman" w:hAnsi="Times New Roman"/>
                <w:sz w:val="18"/>
              </w:rPr>
              <w:t>0.141</w:t>
            </w:r>
          </w:p>
        </w:tc>
      </w:tr>
      <w:tr>
        <w:tc>
          <w:tcPr>
            <w:tcW w:type="dxa" w:w="2340"/>
          </w:tcPr>
          <w:p>
            <w:r/>
            <w:r>
              <w:rPr>
                <w:rFonts w:ascii="Times New Roman" w:hAnsi="Times New Roman"/>
                <w:sz w:val="18"/>
              </w:rPr>
              <w:t>Vascular: focal vs missing</w:t>
            </w:r>
          </w:p>
        </w:tc>
        <w:tc>
          <w:tcPr>
            <w:tcW w:type="dxa" w:w="2340"/>
          </w:tcPr>
          <w:p>
            <w:r/>
            <w:r>
              <w:rPr>
                <w:rFonts w:ascii="Times New Roman" w:hAnsi="Times New Roman"/>
                <w:sz w:val="18"/>
              </w:rPr>
              <w:t>2.25</w:t>
            </w:r>
          </w:p>
        </w:tc>
        <w:tc>
          <w:tcPr>
            <w:tcW w:type="dxa" w:w="2340"/>
          </w:tcPr>
          <w:p>
            <w:r/>
            <w:r>
              <w:rPr>
                <w:rFonts w:ascii="Times New Roman" w:hAnsi="Times New Roman"/>
                <w:sz w:val="18"/>
              </w:rPr>
              <w:t>1.07–4.73</w:t>
            </w:r>
          </w:p>
        </w:tc>
        <w:tc>
          <w:tcPr>
            <w:tcW w:type="dxa" w:w="2340"/>
          </w:tcPr>
          <w:p>
            <w:r/>
            <w:r>
              <w:rPr>
                <w:rFonts w:ascii="Times New Roman" w:hAnsi="Times New Roman"/>
                <w:sz w:val="18"/>
              </w:rPr>
              <w:t>0.033</w:t>
            </w:r>
          </w:p>
        </w:tc>
      </w:tr>
      <w:tr>
        <w:tc>
          <w:tcPr>
            <w:tcW w:type="dxa" w:w="2340"/>
          </w:tcPr>
          <w:p>
            <w:r/>
            <w:r>
              <w:rPr>
                <w:rFonts w:ascii="Times New Roman" w:hAnsi="Times New Roman"/>
                <w:sz w:val="18"/>
              </w:rPr>
              <w:t>Vascular: indeterminate vs missing</w:t>
            </w:r>
          </w:p>
        </w:tc>
        <w:tc>
          <w:tcPr>
            <w:tcW w:type="dxa" w:w="2340"/>
          </w:tcPr>
          <w:p>
            <w:r/>
            <w:r>
              <w:rPr>
                <w:rFonts w:ascii="Times New Roman" w:hAnsi="Times New Roman"/>
                <w:sz w:val="18"/>
              </w:rPr>
              <w:t>0.74</w:t>
            </w:r>
          </w:p>
        </w:tc>
        <w:tc>
          <w:tcPr>
            <w:tcW w:type="dxa" w:w="2340"/>
          </w:tcPr>
          <w:p>
            <w:r/>
            <w:r>
              <w:rPr>
                <w:rFonts w:ascii="Times New Roman" w:hAnsi="Times New Roman"/>
                <w:sz w:val="18"/>
              </w:rPr>
              <w:t>0.09–5.78</w:t>
            </w:r>
          </w:p>
        </w:tc>
        <w:tc>
          <w:tcPr>
            <w:tcW w:type="dxa" w:w="2340"/>
          </w:tcPr>
          <w:p>
            <w:r/>
            <w:r>
              <w:rPr>
                <w:rFonts w:ascii="Times New Roman" w:hAnsi="Times New Roman"/>
                <w:sz w:val="18"/>
              </w:rPr>
              <w:t>0.770</w:t>
            </w:r>
          </w:p>
        </w:tc>
      </w:tr>
    </w:tbl>
    <w:p>
      <w:r>
        <w:rPr>
          <w:rFonts w:ascii="Times New Roman" w:hAnsi="Times New Roman"/>
          <w:b w:val="0"/>
          <w:i/>
          <w:sz w:val="22"/>
        </w:rPr>
        <w:t>Quasi-separation denotes zero events in the stratum or extreme separation; the indicator was dropped from the model.</w:t>
      </w:r>
    </w:p>
    <w:p>
      <w:r>
        <w:br w:type="page"/>
      </w:r>
    </w:p>
    <w:p>
      <w:r>
        <w:rPr>
          <w:rFonts w:ascii="Times New Roman" w:hAnsi="Times New Roman"/>
          <w:b/>
          <w:sz w:val="22"/>
        </w:rPr>
        <w:t xml:space="preserve">Table 3. </w:t>
      </w:r>
      <w:r>
        <w:rPr>
          <w:rFonts w:ascii="Times New Roman" w:hAnsi="Times New Roman"/>
          <w:sz w:val="22"/>
        </w:rPr>
        <w:t>Sensitivity and exploratory model summary — gross-vs-microscopic and no/negative-vs-microscopic ETE odds ratios.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rFonts w:ascii="Times New Roman" w:hAnsi="Times New Roman"/>
                <w:b/>
                <w:sz w:val="18"/>
              </w:rPr>
              <w:t>Model</w:t>
            </w:r>
          </w:p>
        </w:tc>
        <w:tc>
          <w:tcPr>
            <w:tcW w:type="dxa" w:w="1040"/>
          </w:tcPr>
          <w:p>
            <w:r/>
            <w:r>
              <w:rPr>
                <w:rFonts w:ascii="Times New Roman" w:hAnsi="Times New Roman"/>
                <w:b/>
                <w:sz w:val="18"/>
              </w:rPr>
              <w:t>Gross vs Micro OR</w:t>
            </w:r>
          </w:p>
        </w:tc>
        <w:tc>
          <w:tcPr>
            <w:tcW w:type="dxa" w:w="1040"/>
          </w:tcPr>
          <w:p>
            <w:r/>
            <w:r>
              <w:rPr>
                <w:rFonts w:ascii="Times New Roman" w:hAnsi="Times New Roman"/>
                <w:b/>
                <w:sz w:val="18"/>
              </w:rPr>
              <w:t>95% CI</w:t>
            </w:r>
          </w:p>
        </w:tc>
        <w:tc>
          <w:tcPr>
            <w:tcW w:type="dxa" w:w="1040"/>
          </w:tcPr>
          <w:p>
            <w:r/>
            <w:r>
              <w:rPr>
                <w:rFonts w:ascii="Times New Roman" w:hAnsi="Times New Roman"/>
                <w:b/>
                <w:sz w:val="18"/>
              </w:rPr>
              <w:t>p</w:t>
            </w:r>
          </w:p>
        </w:tc>
        <w:tc>
          <w:tcPr>
            <w:tcW w:type="dxa" w:w="1040"/>
          </w:tcPr>
          <w:p>
            <w:r/>
            <w:r>
              <w:rPr>
                <w:rFonts w:ascii="Times New Roman" w:hAnsi="Times New Roman"/>
                <w:b/>
                <w:sz w:val="18"/>
              </w:rPr>
              <w:t>No/neg vs Micro OR</w:t>
            </w:r>
          </w:p>
        </w:tc>
        <w:tc>
          <w:tcPr>
            <w:tcW w:type="dxa" w:w="1040"/>
          </w:tcPr>
          <w:p>
            <w:r/>
            <w:r>
              <w:rPr>
                <w:rFonts w:ascii="Times New Roman" w:hAnsi="Times New Roman"/>
                <w:b/>
                <w:sz w:val="18"/>
              </w:rPr>
              <w:t>95% CI</w:t>
            </w:r>
          </w:p>
        </w:tc>
        <w:tc>
          <w:tcPr>
            <w:tcW w:type="dxa" w:w="1040"/>
          </w:tcPr>
          <w:p>
            <w:r/>
            <w:r>
              <w:rPr>
                <w:rFonts w:ascii="Times New Roman" w:hAnsi="Times New Roman"/>
                <w:b/>
                <w:sz w:val="18"/>
              </w:rPr>
              <w:t>p</w:t>
            </w:r>
          </w:p>
        </w:tc>
        <w:tc>
          <w:tcPr>
            <w:tcW w:type="dxa" w:w="1040"/>
          </w:tcPr>
          <w:p>
            <w:r/>
            <w:r>
              <w:rPr>
                <w:rFonts w:ascii="Times New Roman" w:hAnsi="Times New Roman"/>
                <w:b/>
                <w:sz w:val="18"/>
              </w:rPr>
              <w:t>N</w:t>
            </w:r>
          </w:p>
        </w:tc>
        <w:tc>
          <w:tcPr>
            <w:tcW w:type="dxa" w:w="1040"/>
          </w:tcPr>
          <w:p>
            <w:r/>
            <w:r>
              <w:rPr>
                <w:rFonts w:ascii="Times New Roman" w:hAnsi="Times New Roman"/>
                <w:b/>
                <w:sz w:val="18"/>
              </w:rPr>
              <w:t>Events</w:t>
            </w:r>
          </w:p>
        </w:tc>
      </w:tr>
      <w:tr>
        <w:tc>
          <w:tcPr>
            <w:tcW w:type="dxa" w:w="1040"/>
          </w:tcPr>
          <w:p>
            <w:r/>
            <w:r>
              <w:rPr>
                <w:rFonts w:ascii="Times New Roman" w:hAnsi="Times New Roman"/>
                <w:sz w:val="18"/>
              </w:rPr>
              <w:t>Crude (ETE only)</w:t>
            </w:r>
          </w:p>
        </w:tc>
        <w:tc>
          <w:tcPr>
            <w:tcW w:type="dxa" w:w="1040"/>
          </w:tcPr>
          <w:p>
            <w:r/>
            <w:r>
              <w:rPr>
                <w:rFonts w:ascii="Times New Roman" w:hAnsi="Times New Roman"/>
                <w:sz w:val="18"/>
              </w:rPr>
              <w:t>2.68</w:t>
            </w:r>
          </w:p>
        </w:tc>
        <w:tc>
          <w:tcPr>
            <w:tcW w:type="dxa" w:w="1040"/>
          </w:tcPr>
          <w:p>
            <w:r/>
            <w:r>
              <w:rPr>
                <w:rFonts w:ascii="Times New Roman" w:hAnsi="Times New Roman"/>
                <w:sz w:val="18"/>
              </w:rPr>
              <w:t>1.80–3.99</w:t>
            </w:r>
          </w:p>
        </w:tc>
        <w:tc>
          <w:tcPr>
            <w:tcW w:type="dxa" w:w="1040"/>
          </w:tcPr>
          <w:p>
            <w:r/>
            <w:r>
              <w:rPr>
                <w:rFonts w:ascii="Times New Roman" w:hAnsi="Times New Roman"/>
                <w:sz w:val="18"/>
              </w:rPr>
              <w:t>&lt;0.001</w:t>
            </w:r>
          </w:p>
        </w:tc>
        <w:tc>
          <w:tcPr>
            <w:tcW w:type="dxa" w:w="1040"/>
          </w:tcPr>
          <w:p>
            <w:r/>
            <w:r>
              <w:rPr>
                <w:rFonts w:ascii="Times New Roman" w:hAnsi="Times New Roman"/>
                <w:sz w:val="18"/>
              </w:rPr>
              <w:t>2.37</w:t>
            </w:r>
          </w:p>
        </w:tc>
        <w:tc>
          <w:tcPr>
            <w:tcW w:type="dxa" w:w="1040"/>
          </w:tcPr>
          <w:p>
            <w:r/>
            <w:r>
              <w:rPr>
                <w:rFonts w:ascii="Times New Roman" w:hAnsi="Times New Roman"/>
                <w:sz w:val="18"/>
              </w:rPr>
              <w:t>0.72–7.84</w:t>
            </w:r>
          </w:p>
        </w:tc>
        <w:tc>
          <w:tcPr>
            <w:tcW w:type="dxa" w:w="1040"/>
          </w:tcPr>
          <w:p>
            <w:r/>
            <w:r>
              <w:rPr>
                <w:rFonts w:ascii="Times New Roman" w:hAnsi="Times New Roman"/>
                <w:sz w:val="18"/>
              </w:rPr>
              <w:t>0.156</w:t>
            </w:r>
          </w:p>
        </w:tc>
        <w:tc>
          <w:tcPr>
            <w:tcW w:type="dxa" w:w="1040"/>
          </w:tcPr>
          <w:p>
            <w:r/>
            <w:r>
              <w:rPr>
                <w:rFonts w:ascii="Times New Roman" w:hAnsi="Times New Roman"/>
                <w:sz w:val="18"/>
              </w:rPr>
              <w:t>3,578</w:t>
            </w:r>
          </w:p>
        </w:tc>
        <w:tc>
          <w:tcPr>
            <w:tcW w:type="dxa" w:w="1040"/>
          </w:tcPr>
          <w:p>
            <w:r/>
            <w:r>
              <w:rPr>
                <w:rFonts w:ascii="Times New Roman" w:hAnsi="Times New Roman"/>
                <w:sz w:val="18"/>
              </w:rPr>
              <w:t>105</w:t>
            </w:r>
          </w:p>
        </w:tc>
      </w:tr>
      <w:tr>
        <w:tc>
          <w:tcPr>
            <w:tcW w:type="dxa" w:w="1040"/>
          </w:tcPr>
          <w:p>
            <w:r/>
            <w:r>
              <w:rPr>
                <w:rFonts w:ascii="Times New Roman" w:hAnsi="Times New Roman"/>
                <w:sz w:val="18"/>
              </w:rPr>
              <w:t>Primary (no RAI)</w:t>
            </w:r>
          </w:p>
        </w:tc>
        <w:tc>
          <w:tcPr>
            <w:tcW w:type="dxa" w:w="1040"/>
          </w:tcPr>
          <w:p>
            <w:r/>
            <w:r>
              <w:rPr>
                <w:rFonts w:ascii="Times New Roman" w:hAnsi="Times New Roman"/>
                <w:sz w:val="18"/>
              </w:rPr>
              <w:t>1.77</w:t>
            </w:r>
          </w:p>
        </w:tc>
        <w:tc>
          <w:tcPr>
            <w:tcW w:type="dxa" w:w="1040"/>
          </w:tcPr>
          <w:p>
            <w:r/>
            <w:r>
              <w:rPr>
                <w:rFonts w:ascii="Times New Roman" w:hAnsi="Times New Roman"/>
                <w:sz w:val="18"/>
              </w:rPr>
              <w:t>1.15–2.71</w:t>
            </w:r>
          </w:p>
        </w:tc>
        <w:tc>
          <w:tcPr>
            <w:tcW w:type="dxa" w:w="1040"/>
          </w:tcPr>
          <w:p>
            <w:r/>
            <w:r>
              <w:rPr>
                <w:rFonts w:ascii="Times New Roman" w:hAnsi="Times New Roman"/>
                <w:sz w:val="18"/>
              </w:rPr>
              <w:t>0.009</w:t>
            </w:r>
          </w:p>
        </w:tc>
        <w:tc>
          <w:tcPr>
            <w:tcW w:type="dxa" w:w="1040"/>
          </w:tcPr>
          <w:p>
            <w:r/>
            <w:r>
              <w:rPr>
                <w:rFonts w:ascii="Times New Roman" w:hAnsi="Times New Roman"/>
                <w:sz w:val="18"/>
              </w:rPr>
              <w:t>2.72</w:t>
            </w:r>
          </w:p>
        </w:tc>
        <w:tc>
          <w:tcPr>
            <w:tcW w:type="dxa" w:w="1040"/>
          </w:tcPr>
          <w:p>
            <w:r/>
            <w:r>
              <w:rPr>
                <w:rFonts w:ascii="Times New Roman" w:hAnsi="Times New Roman"/>
                <w:sz w:val="18"/>
              </w:rPr>
              <w:t>0.80–9.30</w:t>
            </w:r>
          </w:p>
        </w:tc>
        <w:tc>
          <w:tcPr>
            <w:tcW w:type="dxa" w:w="1040"/>
          </w:tcPr>
          <w:p>
            <w:r/>
            <w:r>
              <w:rPr>
                <w:rFonts w:ascii="Times New Roman" w:hAnsi="Times New Roman"/>
                <w:sz w:val="18"/>
              </w:rPr>
              <w:t>0.111</w:t>
            </w:r>
          </w:p>
        </w:tc>
        <w:tc>
          <w:tcPr>
            <w:tcW w:type="dxa" w:w="1040"/>
          </w:tcPr>
          <w:p>
            <w:r/>
            <w:r>
              <w:rPr>
                <w:rFonts w:ascii="Times New Roman" w:hAnsi="Times New Roman"/>
                <w:sz w:val="18"/>
              </w:rPr>
              <w:t>3,572</w:t>
            </w:r>
          </w:p>
        </w:tc>
        <w:tc>
          <w:tcPr>
            <w:tcW w:type="dxa" w:w="1040"/>
          </w:tcPr>
          <w:p>
            <w:r/>
            <w:r>
              <w:rPr>
                <w:rFonts w:ascii="Times New Roman" w:hAnsi="Times New Roman"/>
                <w:sz w:val="18"/>
              </w:rPr>
              <w:t>105</w:t>
            </w:r>
          </w:p>
        </w:tc>
      </w:tr>
      <w:tr>
        <w:tc>
          <w:tcPr>
            <w:tcW w:type="dxa" w:w="1040"/>
          </w:tcPr>
          <w:p>
            <w:r/>
            <w:r>
              <w:rPr>
                <w:rFonts w:ascii="Times New Roman" w:hAnsi="Times New Roman"/>
                <w:sz w:val="18"/>
              </w:rPr>
              <w:t>+RAI (sensitivity)</w:t>
            </w:r>
          </w:p>
        </w:tc>
        <w:tc>
          <w:tcPr>
            <w:tcW w:type="dxa" w:w="1040"/>
          </w:tcPr>
          <w:p>
            <w:r/>
            <w:r>
              <w:rPr>
                <w:rFonts w:ascii="Times New Roman" w:hAnsi="Times New Roman"/>
                <w:sz w:val="18"/>
              </w:rPr>
              <w:t>1.40</w:t>
            </w:r>
          </w:p>
        </w:tc>
        <w:tc>
          <w:tcPr>
            <w:tcW w:type="dxa" w:w="1040"/>
          </w:tcPr>
          <w:p>
            <w:r/>
            <w:r>
              <w:rPr>
                <w:rFonts w:ascii="Times New Roman" w:hAnsi="Times New Roman"/>
                <w:sz w:val="18"/>
              </w:rPr>
              <w:t>0.90–2.16</w:t>
            </w:r>
          </w:p>
        </w:tc>
        <w:tc>
          <w:tcPr>
            <w:tcW w:type="dxa" w:w="1040"/>
          </w:tcPr>
          <w:p>
            <w:r/>
            <w:r>
              <w:rPr>
                <w:rFonts w:ascii="Times New Roman" w:hAnsi="Times New Roman"/>
                <w:sz w:val="18"/>
              </w:rPr>
              <w:t>0.136</w:t>
            </w:r>
          </w:p>
        </w:tc>
        <w:tc>
          <w:tcPr>
            <w:tcW w:type="dxa" w:w="1040"/>
          </w:tcPr>
          <w:p>
            <w:r/>
            <w:r>
              <w:rPr>
                <w:rFonts w:ascii="Times New Roman" w:hAnsi="Times New Roman"/>
                <w:sz w:val="18"/>
              </w:rPr>
              <w:t>2.28</w:t>
            </w:r>
          </w:p>
        </w:tc>
        <w:tc>
          <w:tcPr>
            <w:tcW w:type="dxa" w:w="1040"/>
          </w:tcPr>
          <w:p>
            <w:r/>
            <w:r>
              <w:rPr>
                <w:rFonts w:ascii="Times New Roman" w:hAnsi="Times New Roman"/>
                <w:sz w:val="18"/>
              </w:rPr>
              <w:t>0.66–7.91</w:t>
            </w:r>
          </w:p>
        </w:tc>
        <w:tc>
          <w:tcPr>
            <w:tcW w:type="dxa" w:w="1040"/>
          </w:tcPr>
          <w:p>
            <w:r/>
            <w:r>
              <w:rPr>
                <w:rFonts w:ascii="Times New Roman" w:hAnsi="Times New Roman"/>
                <w:sz w:val="18"/>
              </w:rPr>
              <w:t>0.193</w:t>
            </w:r>
          </w:p>
        </w:tc>
        <w:tc>
          <w:tcPr>
            <w:tcW w:type="dxa" w:w="1040"/>
          </w:tcPr>
          <w:p>
            <w:r/>
            <w:r>
              <w:rPr>
                <w:rFonts w:ascii="Times New Roman" w:hAnsi="Times New Roman"/>
                <w:sz w:val="18"/>
              </w:rPr>
              <w:t>3,572</w:t>
            </w:r>
          </w:p>
        </w:tc>
        <w:tc>
          <w:tcPr>
            <w:tcW w:type="dxa" w:w="1040"/>
          </w:tcPr>
          <w:p>
            <w:r/>
            <w:r>
              <w:rPr>
                <w:rFonts w:ascii="Times New Roman" w:hAnsi="Times New Roman"/>
                <w:sz w:val="18"/>
              </w:rPr>
              <w:t>105</w:t>
            </w:r>
          </w:p>
        </w:tc>
      </w:tr>
      <w:tr>
        <w:tc>
          <w:tcPr>
            <w:tcW w:type="dxa" w:w="1040"/>
          </w:tcPr>
          <w:p>
            <w:r/>
            <w:r>
              <w:rPr>
                <w:rFonts w:ascii="Times New Roman" w:hAnsi="Times New Roman"/>
                <w:sz w:val="18"/>
              </w:rPr>
              <w:t>+BRAF/TERT (sensitivity)</w:t>
            </w:r>
          </w:p>
        </w:tc>
        <w:tc>
          <w:tcPr>
            <w:tcW w:type="dxa" w:w="1040"/>
          </w:tcPr>
          <w:p>
            <w:r/>
            <w:r>
              <w:rPr>
                <w:rFonts w:ascii="Times New Roman" w:hAnsi="Times New Roman"/>
                <w:sz w:val="18"/>
              </w:rPr>
              <w:t>1.78</w:t>
            </w:r>
          </w:p>
        </w:tc>
        <w:tc>
          <w:tcPr>
            <w:tcW w:type="dxa" w:w="1040"/>
          </w:tcPr>
          <w:p>
            <w:r/>
            <w:r>
              <w:rPr>
                <w:rFonts w:ascii="Times New Roman" w:hAnsi="Times New Roman"/>
                <w:sz w:val="18"/>
              </w:rPr>
              <w:t>1.16–2.73</w:t>
            </w:r>
          </w:p>
        </w:tc>
        <w:tc>
          <w:tcPr>
            <w:tcW w:type="dxa" w:w="1040"/>
          </w:tcPr>
          <w:p>
            <w:r/>
            <w:r>
              <w:rPr>
                <w:rFonts w:ascii="Times New Roman" w:hAnsi="Times New Roman"/>
                <w:sz w:val="18"/>
              </w:rPr>
              <w:t>0.008</w:t>
            </w:r>
          </w:p>
        </w:tc>
        <w:tc>
          <w:tcPr>
            <w:tcW w:type="dxa" w:w="1040"/>
          </w:tcPr>
          <w:p>
            <w:r/>
            <w:r>
              <w:rPr>
                <w:rFonts w:ascii="Times New Roman" w:hAnsi="Times New Roman"/>
                <w:sz w:val="18"/>
              </w:rPr>
              <w:t>2.76</w:t>
            </w:r>
          </w:p>
        </w:tc>
        <w:tc>
          <w:tcPr>
            <w:tcW w:type="dxa" w:w="1040"/>
          </w:tcPr>
          <w:p>
            <w:r/>
            <w:r>
              <w:rPr>
                <w:rFonts w:ascii="Times New Roman" w:hAnsi="Times New Roman"/>
                <w:sz w:val="18"/>
              </w:rPr>
              <w:t>0.80–9.49</w:t>
            </w:r>
          </w:p>
        </w:tc>
        <w:tc>
          <w:tcPr>
            <w:tcW w:type="dxa" w:w="1040"/>
          </w:tcPr>
          <w:p>
            <w:r/>
            <w:r>
              <w:rPr>
                <w:rFonts w:ascii="Times New Roman" w:hAnsi="Times New Roman"/>
                <w:sz w:val="18"/>
              </w:rPr>
              <w:t>0.107</w:t>
            </w:r>
          </w:p>
        </w:tc>
        <w:tc>
          <w:tcPr>
            <w:tcW w:type="dxa" w:w="1040"/>
          </w:tcPr>
          <w:p>
            <w:r/>
            <w:r>
              <w:rPr>
                <w:rFonts w:ascii="Times New Roman" w:hAnsi="Times New Roman"/>
                <w:sz w:val="18"/>
              </w:rPr>
              <w:t>3,572</w:t>
            </w:r>
          </w:p>
        </w:tc>
        <w:tc>
          <w:tcPr>
            <w:tcW w:type="dxa" w:w="1040"/>
          </w:tcPr>
          <w:p>
            <w:r/>
            <w:r>
              <w:rPr>
                <w:rFonts w:ascii="Times New Roman" w:hAnsi="Times New Roman"/>
                <w:sz w:val="18"/>
              </w:rPr>
              <w:t>105</w:t>
            </w:r>
          </w:p>
        </w:tc>
      </w:tr>
      <w:tr>
        <w:tc>
          <w:tcPr>
            <w:tcW w:type="dxa" w:w="1040"/>
          </w:tcPr>
          <w:p>
            <w:r/>
            <w:r>
              <w:rPr>
                <w:rFonts w:ascii="Times New Roman" w:hAnsi="Times New Roman"/>
                <w:sz w:val="18"/>
              </w:rPr>
              <w:t>+LN topography (exploratory)</w:t>
            </w:r>
          </w:p>
        </w:tc>
        <w:tc>
          <w:tcPr>
            <w:tcW w:type="dxa" w:w="1040"/>
          </w:tcPr>
          <w:p>
            <w:r/>
            <w:r>
              <w:rPr>
                <w:rFonts w:ascii="Times New Roman" w:hAnsi="Times New Roman"/>
                <w:sz w:val="18"/>
              </w:rPr>
              <w:t>1.99</w:t>
            </w:r>
          </w:p>
        </w:tc>
        <w:tc>
          <w:tcPr>
            <w:tcW w:type="dxa" w:w="1040"/>
          </w:tcPr>
          <w:p>
            <w:r/>
            <w:r>
              <w:rPr>
                <w:rFonts w:ascii="Times New Roman" w:hAnsi="Times New Roman"/>
                <w:sz w:val="18"/>
              </w:rPr>
              <w:t>1.31–3.02</w:t>
            </w:r>
          </w:p>
        </w:tc>
        <w:tc>
          <w:tcPr>
            <w:tcW w:type="dxa" w:w="1040"/>
          </w:tcPr>
          <w:p>
            <w:r/>
            <w:r>
              <w:rPr>
                <w:rFonts w:ascii="Times New Roman" w:hAnsi="Times New Roman"/>
                <w:sz w:val="18"/>
              </w:rPr>
              <w:t>0.001</w:t>
            </w:r>
          </w:p>
        </w:tc>
        <w:tc>
          <w:tcPr>
            <w:tcW w:type="dxa" w:w="1040"/>
          </w:tcPr>
          <w:p>
            <w:r/>
            <w:r>
              <w:rPr>
                <w:rFonts w:ascii="Times New Roman" w:hAnsi="Times New Roman"/>
                <w:sz w:val="18"/>
              </w:rPr>
              <w:t>2.30</w:t>
            </w:r>
          </w:p>
        </w:tc>
        <w:tc>
          <w:tcPr>
            <w:tcW w:type="dxa" w:w="1040"/>
          </w:tcPr>
          <w:p>
            <w:r/>
            <w:r>
              <w:rPr>
                <w:rFonts w:ascii="Times New Roman" w:hAnsi="Times New Roman"/>
                <w:sz w:val="18"/>
              </w:rPr>
              <w:t>0.68–7.72</w:t>
            </w:r>
          </w:p>
        </w:tc>
        <w:tc>
          <w:tcPr>
            <w:tcW w:type="dxa" w:w="1040"/>
          </w:tcPr>
          <w:p>
            <w:r/>
            <w:r>
              <w:rPr>
                <w:rFonts w:ascii="Times New Roman" w:hAnsi="Times New Roman"/>
                <w:sz w:val="18"/>
              </w:rPr>
              <w:t>0.180</w:t>
            </w:r>
          </w:p>
        </w:tc>
        <w:tc>
          <w:tcPr>
            <w:tcW w:type="dxa" w:w="1040"/>
          </w:tcPr>
          <w:p>
            <w:r/>
            <w:r>
              <w:rPr>
                <w:rFonts w:ascii="Times New Roman" w:hAnsi="Times New Roman"/>
                <w:sz w:val="18"/>
              </w:rPr>
              <w:t>3,572</w:t>
            </w:r>
          </w:p>
        </w:tc>
        <w:tc>
          <w:tcPr>
            <w:tcW w:type="dxa" w:w="1040"/>
          </w:tcPr>
          <w:p>
            <w:r/>
            <w:r>
              <w:rPr>
                <w:rFonts w:ascii="Times New Roman" w:hAnsi="Times New Roman"/>
                <w:sz w:val="18"/>
              </w:rPr>
              <w:t>105</w:t>
            </w:r>
          </w:p>
        </w:tc>
      </w:tr>
      <w:tr>
        <w:tc>
          <w:tcPr>
            <w:tcW w:type="dxa" w:w="1040"/>
          </w:tcPr>
          <w:p>
            <w:r/>
            <w:r>
              <w:rPr>
                <w:rFonts w:ascii="Times New Roman" w:hAnsi="Times New Roman"/>
                <w:sz w:val="18"/>
              </w:rPr>
              <w:t>PTC only (exploratory)</w:t>
            </w:r>
          </w:p>
        </w:tc>
        <w:tc>
          <w:tcPr>
            <w:tcW w:type="dxa" w:w="1040"/>
          </w:tcPr>
          <w:p>
            <w:r/>
            <w:r>
              <w:rPr>
                <w:rFonts w:ascii="Times New Roman" w:hAnsi="Times New Roman"/>
                <w:sz w:val="18"/>
              </w:rPr>
              <w:t>1.97</w:t>
            </w:r>
          </w:p>
        </w:tc>
        <w:tc>
          <w:tcPr>
            <w:tcW w:type="dxa" w:w="1040"/>
          </w:tcPr>
          <w:p>
            <w:r/>
            <w:r>
              <w:rPr>
                <w:rFonts w:ascii="Times New Roman" w:hAnsi="Times New Roman"/>
                <w:sz w:val="18"/>
              </w:rPr>
              <w:t>1.26–3.07</w:t>
            </w:r>
          </w:p>
        </w:tc>
        <w:tc>
          <w:tcPr>
            <w:tcW w:type="dxa" w:w="1040"/>
          </w:tcPr>
          <w:p>
            <w:r/>
            <w:r>
              <w:rPr>
                <w:rFonts w:ascii="Times New Roman" w:hAnsi="Times New Roman"/>
                <w:sz w:val="18"/>
              </w:rPr>
              <w:t>0.003</w:t>
            </w:r>
          </w:p>
        </w:tc>
        <w:tc>
          <w:tcPr>
            <w:tcW w:type="dxa" w:w="1040"/>
          </w:tcPr>
          <w:p>
            <w:r/>
            <w:r>
              <w:rPr>
                <w:rFonts w:ascii="Times New Roman" w:hAnsi="Times New Roman"/>
                <w:sz w:val="18"/>
              </w:rPr>
              <w:t>2.89</w:t>
            </w:r>
          </w:p>
        </w:tc>
        <w:tc>
          <w:tcPr>
            <w:tcW w:type="dxa" w:w="1040"/>
          </w:tcPr>
          <w:p>
            <w:r/>
            <w:r>
              <w:rPr>
                <w:rFonts w:ascii="Times New Roman" w:hAnsi="Times New Roman"/>
                <w:sz w:val="18"/>
              </w:rPr>
              <w:t>0.85–9.85</w:t>
            </w:r>
          </w:p>
        </w:tc>
        <w:tc>
          <w:tcPr>
            <w:tcW w:type="dxa" w:w="1040"/>
          </w:tcPr>
          <w:p>
            <w:r/>
            <w:r>
              <w:rPr>
                <w:rFonts w:ascii="Times New Roman" w:hAnsi="Times New Roman"/>
                <w:sz w:val="18"/>
              </w:rPr>
              <w:t>0.089</w:t>
            </w:r>
          </w:p>
        </w:tc>
        <w:tc>
          <w:tcPr>
            <w:tcW w:type="dxa" w:w="1040"/>
          </w:tcPr>
          <w:p>
            <w:r/>
            <w:r>
              <w:rPr>
                <w:rFonts w:ascii="Times New Roman" w:hAnsi="Times New Roman"/>
                <w:sz w:val="18"/>
              </w:rPr>
              <w:t>3,047</w:t>
            </w:r>
          </w:p>
        </w:tc>
        <w:tc>
          <w:tcPr>
            <w:tcW w:type="dxa" w:w="1040"/>
          </w:tcPr>
          <w:p>
            <w:r/>
            <w:r>
              <w:rPr>
                <w:rFonts w:ascii="Times New Roman" w:hAnsi="Times New Roman"/>
                <w:sz w:val="18"/>
              </w:rPr>
              <w:t>92</w:t>
            </w:r>
          </w:p>
        </w:tc>
      </w:tr>
      <w:tr>
        <w:tc>
          <w:tcPr>
            <w:tcW w:type="dxa" w:w="1040"/>
          </w:tcPr>
          <w:p>
            <w:r/>
            <w:r>
              <w:rPr>
                <w:rFonts w:ascii="Times New Roman" w:hAnsi="Times New Roman"/>
                <w:sz w:val="18"/>
              </w:rPr>
              <w:t>Composite LVI (exploratory)</w:t>
            </w:r>
          </w:p>
        </w:tc>
        <w:tc>
          <w:tcPr>
            <w:tcW w:type="dxa" w:w="1040"/>
          </w:tcPr>
          <w:p>
            <w:r/>
            <w:r>
              <w:rPr>
                <w:rFonts w:ascii="Times New Roman" w:hAnsi="Times New Roman"/>
                <w:sz w:val="18"/>
              </w:rPr>
              <w:t>2.04</w:t>
            </w:r>
          </w:p>
        </w:tc>
        <w:tc>
          <w:tcPr>
            <w:tcW w:type="dxa" w:w="1040"/>
          </w:tcPr>
          <w:p>
            <w:r/>
            <w:r>
              <w:rPr>
                <w:rFonts w:ascii="Times New Roman" w:hAnsi="Times New Roman"/>
                <w:sz w:val="18"/>
              </w:rPr>
              <w:t>1.35–3.09</w:t>
            </w:r>
          </w:p>
        </w:tc>
        <w:tc>
          <w:tcPr>
            <w:tcW w:type="dxa" w:w="1040"/>
          </w:tcPr>
          <w:p>
            <w:r/>
            <w:r>
              <w:rPr>
                <w:rFonts w:ascii="Times New Roman" w:hAnsi="Times New Roman"/>
                <w:sz w:val="18"/>
              </w:rPr>
              <w:t>&lt;0.001</w:t>
            </w:r>
          </w:p>
        </w:tc>
        <w:tc>
          <w:tcPr>
            <w:tcW w:type="dxa" w:w="1040"/>
          </w:tcPr>
          <w:p>
            <w:r/>
            <w:r>
              <w:rPr>
                <w:rFonts w:ascii="Times New Roman" w:hAnsi="Times New Roman"/>
                <w:sz w:val="18"/>
              </w:rPr>
              <w:t>2.18</w:t>
            </w:r>
          </w:p>
        </w:tc>
        <w:tc>
          <w:tcPr>
            <w:tcW w:type="dxa" w:w="1040"/>
          </w:tcPr>
          <w:p>
            <w:r/>
            <w:r>
              <w:rPr>
                <w:rFonts w:ascii="Times New Roman" w:hAnsi="Times New Roman"/>
                <w:sz w:val="18"/>
              </w:rPr>
              <w:t>0.65–7.34</w:t>
            </w:r>
          </w:p>
        </w:tc>
        <w:tc>
          <w:tcPr>
            <w:tcW w:type="dxa" w:w="1040"/>
          </w:tcPr>
          <w:p>
            <w:r/>
            <w:r>
              <w:rPr>
                <w:rFonts w:ascii="Times New Roman" w:hAnsi="Times New Roman"/>
                <w:sz w:val="18"/>
              </w:rPr>
              <w:t>0.208</w:t>
            </w:r>
          </w:p>
        </w:tc>
        <w:tc>
          <w:tcPr>
            <w:tcW w:type="dxa" w:w="1040"/>
          </w:tcPr>
          <w:p>
            <w:r/>
            <w:r>
              <w:rPr>
                <w:rFonts w:ascii="Times New Roman" w:hAnsi="Times New Roman"/>
                <w:sz w:val="18"/>
              </w:rPr>
              <w:t>3,572</w:t>
            </w:r>
          </w:p>
        </w:tc>
        <w:tc>
          <w:tcPr>
            <w:tcW w:type="dxa" w:w="1040"/>
          </w:tcPr>
          <w:p>
            <w:r/>
            <w:r>
              <w:rPr>
                <w:rFonts w:ascii="Times New Roman" w:hAnsi="Times New Roman"/>
                <w:sz w:val="18"/>
              </w:rPr>
              <w:t>105</w:t>
            </w:r>
          </w:p>
        </w:tc>
      </w:tr>
      <w:tr>
        <w:tc>
          <w:tcPr>
            <w:tcW w:type="dxa" w:w="1040"/>
          </w:tcPr>
          <w:p>
            <w:r/>
            <w:r>
              <w:rPr>
                <w:rFonts w:ascii="Times New Roman" w:hAnsi="Times New Roman"/>
                <w:sz w:val="18"/>
              </w:rPr>
              <w:t>Follow-up &gt;0 y (sensitivity)</w:t>
            </w:r>
          </w:p>
        </w:tc>
        <w:tc>
          <w:tcPr>
            <w:tcW w:type="dxa" w:w="1040"/>
          </w:tcPr>
          <w:p>
            <w:r/>
            <w:r>
              <w:rPr>
                <w:rFonts w:ascii="Times New Roman" w:hAnsi="Times New Roman"/>
                <w:sz w:val="18"/>
              </w:rPr>
              <w:t>1.79</w:t>
            </w:r>
          </w:p>
        </w:tc>
        <w:tc>
          <w:tcPr>
            <w:tcW w:type="dxa" w:w="1040"/>
          </w:tcPr>
          <w:p>
            <w:r/>
            <w:r>
              <w:rPr>
                <w:rFonts w:ascii="Times New Roman" w:hAnsi="Times New Roman"/>
                <w:sz w:val="18"/>
              </w:rPr>
              <w:t>1.17–2.72</w:t>
            </w:r>
          </w:p>
        </w:tc>
        <w:tc>
          <w:tcPr>
            <w:tcW w:type="dxa" w:w="1040"/>
          </w:tcPr>
          <w:p>
            <w:r/>
            <w:r>
              <w:rPr>
                <w:rFonts w:ascii="Times New Roman" w:hAnsi="Times New Roman"/>
                <w:sz w:val="18"/>
              </w:rPr>
              <w:t>0.007</w:t>
            </w:r>
          </w:p>
        </w:tc>
        <w:tc>
          <w:tcPr>
            <w:tcW w:type="dxa" w:w="1040"/>
          </w:tcPr>
          <w:p>
            <w:r/>
            <w:r>
              <w:rPr>
                <w:rFonts w:ascii="Times New Roman" w:hAnsi="Times New Roman"/>
                <w:sz w:val="18"/>
              </w:rPr>
              <w:t>2.46</w:t>
            </w:r>
          </w:p>
        </w:tc>
        <w:tc>
          <w:tcPr>
            <w:tcW w:type="dxa" w:w="1040"/>
          </w:tcPr>
          <w:p>
            <w:r/>
            <w:r>
              <w:rPr>
                <w:rFonts w:ascii="Times New Roman" w:hAnsi="Times New Roman"/>
                <w:sz w:val="18"/>
              </w:rPr>
              <w:t>0.72–8.42</w:t>
            </w:r>
          </w:p>
        </w:tc>
        <w:tc>
          <w:tcPr>
            <w:tcW w:type="dxa" w:w="1040"/>
          </w:tcPr>
          <w:p>
            <w:r/>
            <w:r>
              <w:rPr>
                <w:rFonts w:ascii="Times New Roman" w:hAnsi="Times New Roman"/>
                <w:sz w:val="18"/>
              </w:rPr>
              <w:t>0.150</w:t>
            </w:r>
          </w:p>
        </w:tc>
        <w:tc>
          <w:tcPr>
            <w:tcW w:type="dxa" w:w="1040"/>
          </w:tcPr>
          <w:p>
            <w:r/>
            <w:r>
              <w:rPr>
                <w:rFonts w:ascii="Times New Roman" w:hAnsi="Times New Roman"/>
                <w:sz w:val="18"/>
              </w:rPr>
              <w:t>2,391</w:t>
            </w:r>
          </w:p>
        </w:tc>
        <w:tc>
          <w:tcPr>
            <w:tcW w:type="dxa" w:w="1040"/>
          </w:tcPr>
          <w:p>
            <w:r/>
            <w:r>
              <w:rPr>
                <w:rFonts w:ascii="Times New Roman" w:hAnsi="Times New Roman"/>
                <w:sz w:val="18"/>
              </w:rPr>
              <w:t>104</w:t>
            </w:r>
          </w:p>
        </w:tc>
      </w:tr>
      <w:tr>
        <w:tc>
          <w:tcPr>
            <w:tcW w:type="dxa" w:w="1040"/>
          </w:tcPr>
          <w:p>
            <w:r/>
            <w:r>
              <w:rPr>
                <w:rFonts w:ascii="Times New Roman" w:hAnsi="Times New Roman"/>
                <w:sz w:val="18"/>
              </w:rPr>
              <w:t>Follow-up ≥1 y (sensitivity)</w:t>
            </w:r>
          </w:p>
        </w:tc>
        <w:tc>
          <w:tcPr>
            <w:tcW w:type="dxa" w:w="1040"/>
          </w:tcPr>
          <w:p>
            <w:r/>
            <w:r>
              <w:rPr>
                <w:rFonts w:ascii="Times New Roman" w:hAnsi="Times New Roman"/>
                <w:sz w:val="18"/>
              </w:rPr>
              <w:t>2.10</w:t>
            </w:r>
          </w:p>
        </w:tc>
        <w:tc>
          <w:tcPr>
            <w:tcW w:type="dxa" w:w="1040"/>
          </w:tcPr>
          <w:p>
            <w:r/>
            <w:r>
              <w:rPr>
                <w:rFonts w:ascii="Times New Roman" w:hAnsi="Times New Roman"/>
                <w:sz w:val="18"/>
              </w:rPr>
              <w:t>1.30–3.39</w:t>
            </w:r>
          </w:p>
        </w:tc>
        <w:tc>
          <w:tcPr>
            <w:tcW w:type="dxa" w:w="1040"/>
          </w:tcPr>
          <w:p>
            <w:r/>
            <w:r>
              <w:rPr>
                <w:rFonts w:ascii="Times New Roman" w:hAnsi="Times New Roman"/>
                <w:sz w:val="18"/>
              </w:rPr>
              <w:t>0.002</w:t>
            </w:r>
          </w:p>
        </w:tc>
        <w:tc>
          <w:tcPr>
            <w:tcW w:type="dxa" w:w="1040"/>
          </w:tcPr>
          <w:p>
            <w:r/>
            <w:r>
              <w:rPr>
                <w:rFonts w:ascii="Times New Roman" w:hAnsi="Times New Roman"/>
                <w:sz w:val="18"/>
              </w:rPr>
              <w:t>—</w:t>
            </w:r>
          </w:p>
        </w:tc>
        <w:tc>
          <w:tcPr>
            <w:tcW w:type="dxa" w:w="1040"/>
          </w:tcPr>
          <w:p>
            <w:r/>
            <w:r>
              <w:rPr>
                <w:rFonts w:ascii="Times New Roman" w:hAnsi="Times New Roman"/>
                <w:sz w:val="18"/>
              </w:rPr>
              <w:t>—</w:t>
            </w:r>
          </w:p>
        </w:tc>
        <w:tc>
          <w:tcPr>
            <w:tcW w:type="dxa" w:w="1040"/>
          </w:tcPr>
          <w:p>
            <w:r/>
            <w:r>
              <w:rPr>
                <w:rFonts w:ascii="Times New Roman" w:hAnsi="Times New Roman"/>
                <w:sz w:val="18"/>
              </w:rPr>
              <w:t>—</w:t>
            </w:r>
          </w:p>
        </w:tc>
        <w:tc>
          <w:tcPr>
            <w:tcW w:type="dxa" w:w="1040"/>
          </w:tcPr>
          <w:p>
            <w:r/>
            <w:r>
              <w:rPr>
                <w:rFonts w:ascii="Times New Roman" w:hAnsi="Times New Roman"/>
                <w:sz w:val="18"/>
              </w:rPr>
              <w:t>1,830</w:t>
            </w:r>
          </w:p>
        </w:tc>
        <w:tc>
          <w:tcPr>
            <w:tcW w:type="dxa" w:w="1040"/>
          </w:tcPr>
          <w:p>
            <w:r/>
            <w:r>
              <w:rPr>
                <w:rFonts w:ascii="Times New Roman" w:hAnsi="Times New Roman"/>
                <w:sz w:val="18"/>
              </w:rPr>
              <w:t>86</w:t>
            </w:r>
          </w:p>
        </w:tc>
      </w:tr>
    </w:tbl>
    <w:p>
      <w:r>
        <w:rPr>
          <w:rFonts w:ascii="Times New Roman" w:hAnsi="Times New Roman"/>
          <w:b w:val="0"/>
          <w:i/>
          <w:sz w:val="22"/>
        </w:rPr>
        <w:t>In the +RAI sensitivity model, RAI itself entered at aOR 3.72 (95% CI, 2.45–5.64; p &lt; 0.001), consistent with confounding by indication. In the LN topography model, central LN+ aOR 1.78 (1.04–3.06; p = 0.036) and lateral LN+ aOR 1.85 (1.05–3.24; p = 0.033). The ETE × ln(1 + LN positive) interaction was non-significant (interaction OR 0.87; 95% CI, 0.59–1.28; p = 0.485).</w:t>
      </w:r>
    </w:p>
    <w:p>
      <w:r>
        <w:br w:type="page"/>
      </w:r>
    </w:p>
    <w:p>
      <w:r>
        <w:rPr>
          <w:rFonts w:ascii="Times New Roman" w:hAnsi="Times New Roman"/>
          <w:b/>
          <w:sz w:val="22"/>
        </w:rPr>
        <w:t xml:space="preserve">Table 4. </w:t>
      </w:r>
      <w:r>
        <w:rPr>
          <w:rFonts w:ascii="Times New Roman" w:hAnsi="Times New Roman"/>
          <w:sz w:val="22"/>
        </w:rPr>
        <w:t>No/negative ETE confounding audit — composite-recurrent vs non-recurrent patients (n = 68).</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18"/>
              </w:rPr>
              <w:t>Variable</w:t>
            </w:r>
          </w:p>
        </w:tc>
        <w:tc>
          <w:tcPr>
            <w:tcW w:type="dxa" w:w="3120"/>
          </w:tcPr>
          <w:p>
            <w:r/>
            <w:r>
              <w:rPr>
                <w:rFonts w:ascii="Times New Roman" w:hAnsi="Times New Roman"/>
                <w:b/>
                <w:sz w:val="18"/>
              </w:rPr>
              <w:t>No recurrence (n=64)</w:t>
            </w:r>
          </w:p>
        </w:tc>
        <w:tc>
          <w:tcPr>
            <w:tcW w:type="dxa" w:w="3120"/>
          </w:tcPr>
          <w:p>
            <w:r/>
            <w:r>
              <w:rPr>
                <w:rFonts w:ascii="Times New Roman" w:hAnsi="Times New Roman"/>
                <w:b/>
                <w:sz w:val="18"/>
              </w:rPr>
              <w:t>Composite recurrence (n=4)</w:t>
            </w:r>
          </w:p>
        </w:tc>
      </w:tr>
      <w:tr>
        <w:tc>
          <w:tcPr>
            <w:tcW w:type="dxa" w:w="3120"/>
          </w:tcPr>
          <w:p>
            <w:r/>
            <w:r>
              <w:rPr>
                <w:rFonts w:ascii="Times New Roman" w:hAnsi="Times New Roman"/>
                <w:sz w:val="18"/>
              </w:rPr>
              <w:t>Age, y, median (IQR)</w:t>
            </w:r>
          </w:p>
        </w:tc>
        <w:tc>
          <w:tcPr>
            <w:tcW w:type="dxa" w:w="3120"/>
          </w:tcPr>
          <w:p>
            <w:r/>
            <w:r>
              <w:rPr>
                <w:rFonts w:ascii="Times New Roman" w:hAnsi="Times New Roman"/>
                <w:sz w:val="18"/>
              </w:rPr>
              <w:t>49.0 (35.8–58.0)</w:t>
            </w:r>
          </w:p>
        </w:tc>
        <w:tc>
          <w:tcPr>
            <w:tcW w:type="dxa" w:w="3120"/>
          </w:tcPr>
          <w:p>
            <w:r/>
            <w:r>
              <w:rPr>
                <w:rFonts w:ascii="Times New Roman" w:hAnsi="Times New Roman"/>
                <w:sz w:val="18"/>
              </w:rPr>
              <w:t>57.5 (54.8–61.8)</w:t>
            </w:r>
          </w:p>
        </w:tc>
      </w:tr>
      <w:tr>
        <w:tc>
          <w:tcPr>
            <w:tcW w:type="dxa" w:w="3120"/>
          </w:tcPr>
          <w:p>
            <w:r/>
            <w:r>
              <w:rPr>
                <w:rFonts w:ascii="Times New Roman" w:hAnsi="Times New Roman"/>
                <w:sz w:val="18"/>
              </w:rPr>
              <w:t>Female sex</w:t>
            </w:r>
          </w:p>
        </w:tc>
        <w:tc>
          <w:tcPr>
            <w:tcW w:type="dxa" w:w="3120"/>
          </w:tcPr>
          <w:p>
            <w:r/>
            <w:r>
              <w:rPr>
                <w:rFonts w:ascii="Times New Roman" w:hAnsi="Times New Roman"/>
                <w:sz w:val="18"/>
              </w:rPr>
              <w:t>47 (73.4%)</w:t>
            </w:r>
          </w:p>
        </w:tc>
        <w:tc>
          <w:tcPr>
            <w:tcW w:type="dxa" w:w="3120"/>
          </w:tcPr>
          <w:p>
            <w:r/>
            <w:r>
              <w:rPr>
                <w:rFonts w:ascii="Times New Roman" w:hAnsi="Times New Roman"/>
                <w:sz w:val="18"/>
              </w:rPr>
              <w:t>4 (100%)</w:t>
            </w:r>
          </w:p>
        </w:tc>
      </w:tr>
      <w:tr>
        <w:tc>
          <w:tcPr>
            <w:tcW w:type="dxa" w:w="3120"/>
          </w:tcPr>
          <w:p>
            <w:r/>
            <w:r>
              <w:rPr>
                <w:rFonts w:ascii="Times New Roman" w:hAnsi="Times New Roman"/>
                <w:sz w:val="18"/>
              </w:rPr>
              <w:t>Tumor size, cm, median (IQR)</w:t>
            </w:r>
          </w:p>
        </w:tc>
        <w:tc>
          <w:tcPr>
            <w:tcW w:type="dxa" w:w="3120"/>
          </w:tcPr>
          <w:p>
            <w:r/>
            <w:r>
              <w:rPr>
                <w:rFonts w:ascii="Times New Roman" w:hAnsi="Times New Roman"/>
                <w:sz w:val="18"/>
              </w:rPr>
              <w:t>1.05 (0.50–2.55)</w:t>
            </w:r>
          </w:p>
        </w:tc>
        <w:tc>
          <w:tcPr>
            <w:tcW w:type="dxa" w:w="3120"/>
          </w:tcPr>
          <w:p>
            <w:r/>
            <w:r>
              <w:rPr>
                <w:rFonts w:ascii="Times New Roman" w:hAnsi="Times New Roman"/>
                <w:sz w:val="18"/>
              </w:rPr>
              <w:t>2.00 (1.73–2.40)</w:t>
            </w:r>
          </w:p>
        </w:tc>
      </w:tr>
      <w:tr>
        <w:tc>
          <w:tcPr>
            <w:tcW w:type="dxa" w:w="3120"/>
          </w:tcPr>
          <w:p>
            <w:r/>
            <w:r>
              <w:rPr>
                <w:rFonts w:ascii="Times New Roman" w:hAnsi="Times New Roman"/>
                <w:sz w:val="18"/>
              </w:rPr>
              <w:t>Multifocal disease</w:t>
            </w:r>
          </w:p>
        </w:tc>
        <w:tc>
          <w:tcPr>
            <w:tcW w:type="dxa" w:w="3120"/>
          </w:tcPr>
          <w:p>
            <w:r/>
            <w:r>
              <w:rPr>
                <w:rFonts w:ascii="Times New Roman" w:hAnsi="Times New Roman"/>
                <w:sz w:val="18"/>
              </w:rPr>
              <w:t>14 (21.9%)</w:t>
            </w:r>
          </w:p>
        </w:tc>
        <w:tc>
          <w:tcPr>
            <w:tcW w:type="dxa" w:w="3120"/>
          </w:tcPr>
          <w:p>
            <w:r/>
            <w:r>
              <w:rPr>
                <w:rFonts w:ascii="Times New Roman" w:hAnsi="Times New Roman"/>
                <w:sz w:val="18"/>
              </w:rPr>
              <w:t>0 (0%)</w:t>
            </w:r>
          </w:p>
        </w:tc>
      </w:tr>
      <w:tr>
        <w:tc>
          <w:tcPr>
            <w:tcW w:type="dxa" w:w="3120"/>
          </w:tcPr>
          <w:p>
            <w:r/>
            <w:r>
              <w:rPr>
                <w:rFonts w:ascii="Times New Roman" w:hAnsi="Times New Roman"/>
                <w:sz w:val="18"/>
              </w:rPr>
              <w:t>Margin involved</w:t>
            </w:r>
          </w:p>
        </w:tc>
        <w:tc>
          <w:tcPr>
            <w:tcW w:type="dxa" w:w="3120"/>
          </w:tcPr>
          <w:p>
            <w:r/>
            <w:r>
              <w:rPr>
                <w:rFonts w:ascii="Times New Roman" w:hAnsi="Times New Roman"/>
                <w:sz w:val="18"/>
              </w:rPr>
              <w:t>12 (18.8%)</w:t>
            </w:r>
          </w:p>
        </w:tc>
        <w:tc>
          <w:tcPr>
            <w:tcW w:type="dxa" w:w="3120"/>
          </w:tcPr>
          <w:p>
            <w:r/>
            <w:r>
              <w:rPr>
                <w:rFonts w:ascii="Times New Roman" w:hAnsi="Times New Roman"/>
                <w:sz w:val="18"/>
              </w:rPr>
              <w:t>3 (75%)</w:t>
            </w:r>
          </w:p>
        </w:tc>
      </w:tr>
      <w:tr>
        <w:tc>
          <w:tcPr>
            <w:tcW w:type="dxa" w:w="3120"/>
          </w:tcPr>
          <w:p>
            <w:r/>
            <w:r>
              <w:rPr>
                <w:rFonts w:ascii="Times New Roman" w:hAnsi="Times New Roman"/>
                <w:sz w:val="18"/>
              </w:rPr>
              <w:t>AJCC N0</w:t>
            </w:r>
          </w:p>
        </w:tc>
        <w:tc>
          <w:tcPr>
            <w:tcW w:type="dxa" w:w="3120"/>
          </w:tcPr>
          <w:p>
            <w:r/>
            <w:r>
              <w:rPr>
                <w:rFonts w:ascii="Times New Roman" w:hAnsi="Times New Roman"/>
                <w:sz w:val="18"/>
              </w:rPr>
              <w:t>19 (29.7%)</w:t>
            </w:r>
          </w:p>
        </w:tc>
        <w:tc>
          <w:tcPr>
            <w:tcW w:type="dxa" w:w="3120"/>
          </w:tcPr>
          <w:p>
            <w:r/>
            <w:r>
              <w:rPr>
                <w:rFonts w:ascii="Times New Roman" w:hAnsi="Times New Roman"/>
                <w:sz w:val="18"/>
              </w:rPr>
              <w:t>1 (25%)</w:t>
            </w:r>
          </w:p>
        </w:tc>
      </w:tr>
      <w:tr>
        <w:tc>
          <w:tcPr>
            <w:tcW w:type="dxa" w:w="3120"/>
          </w:tcPr>
          <w:p>
            <w:r/>
            <w:r>
              <w:rPr>
                <w:rFonts w:ascii="Times New Roman" w:hAnsi="Times New Roman"/>
                <w:sz w:val="18"/>
              </w:rPr>
              <w:t>AJCC N1a</w:t>
            </w:r>
          </w:p>
        </w:tc>
        <w:tc>
          <w:tcPr>
            <w:tcW w:type="dxa" w:w="3120"/>
          </w:tcPr>
          <w:p>
            <w:r/>
            <w:r>
              <w:rPr>
                <w:rFonts w:ascii="Times New Roman" w:hAnsi="Times New Roman"/>
                <w:sz w:val="18"/>
              </w:rPr>
              <w:t>28 (43.8%)</w:t>
            </w:r>
          </w:p>
        </w:tc>
        <w:tc>
          <w:tcPr>
            <w:tcW w:type="dxa" w:w="3120"/>
          </w:tcPr>
          <w:p>
            <w:r/>
            <w:r>
              <w:rPr>
                <w:rFonts w:ascii="Times New Roman" w:hAnsi="Times New Roman"/>
                <w:sz w:val="18"/>
              </w:rPr>
              <w:t>3 (75%)</w:t>
            </w:r>
          </w:p>
        </w:tc>
      </w:tr>
      <w:tr>
        <w:tc>
          <w:tcPr>
            <w:tcW w:type="dxa" w:w="3120"/>
          </w:tcPr>
          <w:p>
            <w:r/>
            <w:r>
              <w:rPr>
                <w:rFonts w:ascii="Times New Roman" w:hAnsi="Times New Roman"/>
                <w:sz w:val="18"/>
              </w:rPr>
              <w:t>AJCC N1b</w:t>
            </w:r>
          </w:p>
        </w:tc>
        <w:tc>
          <w:tcPr>
            <w:tcW w:type="dxa" w:w="3120"/>
          </w:tcPr>
          <w:p>
            <w:r/>
            <w:r>
              <w:rPr>
                <w:rFonts w:ascii="Times New Roman" w:hAnsi="Times New Roman"/>
                <w:sz w:val="18"/>
              </w:rPr>
              <w:t>1 (1.6%)</w:t>
            </w:r>
          </w:p>
        </w:tc>
        <w:tc>
          <w:tcPr>
            <w:tcW w:type="dxa" w:w="3120"/>
          </w:tcPr>
          <w:p>
            <w:r/>
            <w:r>
              <w:rPr>
                <w:rFonts w:ascii="Times New Roman" w:hAnsi="Times New Roman"/>
                <w:sz w:val="18"/>
              </w:rPr>
              <w:t>0 (0%)</w:t>
            </w:r>
          </w:p>
        </w:tc>
      </w:tr>
      <w:tr>
        <w:tc>
          <w:tcPr>
            <w:tcW w:type="dxa" w:w="3120"/>
          </w:tcPr>
          <w:p>
            <w:r/>
            <w:r>
              <w:rPr>
                <w:rFonts w:ascii="Times New Roman" w:hAnsi="Times New Roman"/>
                <w:sz w:val="18"/>
              </w:rPr>
              <w:t>AJCC Nx</w:t>
            </w:r>
          </w:p>
        </w:tc>
        <w:tc>
          <w:tcPr>
            <w:tcW w:type="dxa" w:w="3120"/>
          </w:tcPr>
          <w:p>
            <w:r/>
            <w:r>
              <w:rPr>
                <w:rFonts w:ascii="Times New Roman" w:hAnsi="Times New Roman"/>
                <w:sz w:val="18"/>
              </w:rPr>
              <w:t>16 (25.0%)</w:t>
            </w:r>
          </w:p>
        </w:tc>
        <w:tc>
          <w:tcPr>
            <w:tcW w:type="dxa" w:w="3120"/>
          </w:tcPr>
          <w:p>
            <w:r/>
            <w:r>
              <w:rPr>
                <w:rFonts w:ascii="Times New Roman" w:hAnsi="Times New Roman"/>
                <w:sz w:val="18"/>
              </w:rPr>
              <w:t>0 (0%)</w:t>
            </w:r>
          </w:p>
        </w:tc>
      </w:tr>
      <w:tr>
        <w:tc>
          <w:tcPr>
            <w:tcW w:type="dxa" w:w="3120"/>
          </w:tcPr>
          <w:p>
            <w:r/>
            <w:r>
              <w:rPr>
                <w:rFonts w:ascii="Times New Roman" w:hAnsi="Times New Roman"/>
                <w:sz w:val="18"/>
              </w:rPr>
              <w:t>Central LN positive</w:t>
            </w:r>
          </w:p>
        </w:tc>
        <w:tc>
          <w:tcPr>
            <w:tcW w:type="dxa" w:w="3120"/>
          </w:tcPr>
          <w:p>
            <w:r/>
            <w:r>
              <w:rPr>
                <w:rFonts w:ascii="Times New Roman" w:hAnsi="Times New Roman"/>
                <w:sz w:val="18"/>
              </w:rPr>
              <w:t>7 (10.9%)</w:t>
            </w:r>
          </w:p>
        </w:tc>
        <w:tc>
          <w:tcPr>
            <w:tcW w:type="dxa" w:w="3120"/>
          </w:tcPr>
          <w:p>
            <w:r/>
            <w:r>
              <w:rPr>
                <w:rFonts w:ascii="Times New Roman" w:hAnsi="Times New Roman"/>
                <w:sz w:val="18"/>
              </w:rPr>
              <w:t>1 (25%)</w:t>
            </w:r>
          </w:p>
        </w:tc>
      </w:tr>
      <w:tr>
        <w:tc>
          <w:tcPr>
            <w:tcW w:type="dxa" w:w="3120"/>
          </w:tcPr>
          <w:p>
            <w:r/>
            <w:r>
              <w:rPr>
                <w:rFonts w:ascii="Times New Roman" w:hAnsi="Times New Roman"/>
                <w:sz w:val="18"/>
              </w:rPr>
              <w:t>Lateral LN positive</w:t>
            </w:r>
          </w:p>
        </w:tc>
        <w:tc>
          <w:tcPr>
            <w:tcW w:type="dxa" w:w="3120"/>
          </w:tcPr>
          <w:p>
            <w:r/>
            <w:r>
              <w:rPr>
                <w:rFonts w:ascii="Times New Roman" w:hAnsi="Times New Roman"/>
                <w:sz w:val="18"/>
              </w:rPr>
              <w:t>3 (4.7%)</w:t>
            </w:r>
          </w:p>
        </w:tc>
        <w:tc>
          <w:tcPr>
            <w:tcW w:type="dxa" w:w="3120"/>
          </w:tcPr>
          <w:p>
            <w:r/>
            <w:r>
              <w:rPr>
                <w:rFonts w:ascii="Times New Roman" w:hAnsi="Times New Roman"/>
                <w:sz w:val="18"/>
              </w:rPr>
              <w:t>1 (25%)</w:t>
            </w:r>
          </w:p>
        </w:tc>
      </w:tr>
      <w:tr>
        <w:tc>
          <w:tcPr>
            <w:tcW w:type="dxa" w:w="3120"/>
          </w:tcPr>
          <w:p>
            <w:r/>
            <w:r>
              <w:rPr>
                <w:rFonts w:ascii="Times New Roman" w:hAnsi="Times New Roman"/>
                <w:sz w:val="18"/>
              </w:rPr>
              <w:t>Total thyroidectomy</w:t>
            </w:r>
          </w:p>
        </w:tc>
        <w:tc>
          <w:tcPr>
            <w:tcW w:type="dxa" w:w="3120"/>
          </w:tcPr>
          <w:p>
            <w:r/>
            <w:r>
              <w:rPr>
                <w:rFonts w:ascii="Times New Roman" w:hAnsi="Times New Roman"/>
                <w:sz w:val="18"/>
              </w:rPr>
              <w:t>38 (59.4%)</w:t>
            </w:r>
          </w:p>
        </w:tc>
        <w:tc>
          <w:tcPr>
            <w:tcW w:type="dxa" w:w="3120"/>
          </w:tcPr>
          <w:p>
            <w:r/>
            <w:r>
              <w:rPr>
                <w:rFonts w:ascii="Times New Roman" w:hAnsi="Times New Roman"/>
                <w:sz w:val="18"/>
              </w:rPr>
              <w:t>1 (25%)</w:t>
            </w:r>
          </w:p>
        </w:tc>
      </w:tr>
      <w:tr>
        <w:tc>
          <w:tcPr>
            <w:tcW w:type="dxa" w:w="3120"/>
          </w:tcPr>
          <w:p>
            <w:r/>
            <w:r>
              <w:rPr>
                <w:rFonts w:ascii="Times New Roman" w:hAnsi="Times New Roman"/>
                <w:sz w:val="18"/>
              </w:rPr>
              <w:t>RAI received</w:t>
            </w:r>
          </w:p>
        </w:tc>
        <w:tc>
          <w:tcPr>
            <w:tcW w:type="dxa" w:w="3120"/>
          </w:tcPr>
          <w:p>
            <w:r/>
            <w:r>
              <w:rPr>
                <w:rFonts w:ascii="Times New Roman" w:hAnsi="Times New Roman"/>
                <w:sz w:val="18"/>
              </w:rPr>
              <w:t>10 (15.6%)</w:t>
            </w:r>
          </w:p>
        </w:tc>
        <w:tc>
          <w:tcPr>
            <w:tcW w:type="dxa" w:w="3120"/>
          </w:tcPr>
          <w:p>
            <w:r/>
            <w:r>
              <w:rPr>
                <w:rFonts w:ascii="Times New Roman" w:hAnsi="Times New Roman"/>
                <w:sz w:val="18"/>
              </w:rPr>
              <w:t>3 (75%)</w:t>
            </w:r>
          </w:p>
        </w:tc>
      </w:tr>
      <w:tr>
        <w:tc>
          <w:tcPr>
            <w:tcW w:type="dxa" w:w="3120"/>
          </w:tcPr>
          <w:p>
            <w:r/>
            <w:r>
              <w:rPr>
                <w:rFonts w:ascii="Times New Roman" w:hAnsi="Times New Roman"/>
                <w:sz w:val="18"/>
              </w:rPr>
              <w:t>≥2 surgeries</w:t>
            </w:r>
          </w:p>
        </w:tc>
        <w:tc>
          <w:tcPr>
            <w:tcW w:type="dxa" w:w="3120"/>
          </w:tcPr>
          <w:p>
            <w:r/>
            <w:r>
              <w:rPr>
                <w:rFonts w:ascii="Times New Roman" w:hAnsi="Times New Roman"/>
                <w:sz w:val="18"/>
              </w:rPr>
              <w:t>14 (21.9%)</w:t>
            </w:r>
          </w:p>
        </w:tc>
        <w:tc>
          <w:tcPr>
            <w:tcW w:type="dxa" w:w="3120"/>
          </w:tcPr>
          <w:p>
            <w:r/>
            <w:r>
              <w:rPr>
                <w:rFonts w:ascii="Times New Roman" w:hAnsi="Times New Roman"/>
                <w:sz w:val="18"/>
              </w:rPr>
              <w:t>4 (100%)</w:t>
            </w:r>
          </w:p>
        </w:tc>
      </w:tr>
      <w:tr>
        <w:tc>
          <w:tcPr>
            <w:tcW w:type="dxa" w:w="3120"/>
          </w:tcPr>
          <w:p>
            <w:r/>
            <w:r>
              <w:rPr>
                <w:rFonts w:ascii="Times New Roman" w:hAnsi="Times New Roman"/>
                <w:sz w:val="18"/>
              </w:rPr>
              <w:t>Days first→second surgery, median (IQR)</w:t>
            </w:r>
          </w:p>
        </w:tc>
        <w:tc>
          <w:tcPr>
            <w:tcW w:type="dxa" w:w="3120"/>
          </w:tcPr>
          <w:p>
            <w:r/>
            <w:r>
              <w:rPr>
                <w:rFonts w:ascii="Times New Roman" w:hAnsi="Times New Roman"/>
                <w:sz w:val="18"/>
              </w:rPr>
              <w:t>116.5 (49.5–241.8)</w:t>
            </w:r>
          </w:p>
        </w:tc>
        <w:tc>
          <w:tcPr>
            <w:tcW w:type="dxa" w:w="3120"/>
          </w:tcPr>
          <w:p>
            <w:r/>
            <w:r>
              <w:rPr>
                <w:rFonts w:ascii="Times New Roman" w:hAnsi="Times New Roman"/>
                <w:sz w:val="18"/>
              </w:rPr>
              <w:t>629.5 (366.8–1,050.5)</w:t>
            </w:r>
          </w:p>
        </w:tc>
      </w:tr>
      <w:tr>
        <w:tc>
          <w:tcPr>
            <w:tcW w:type="dxa" w:w="3120"/>
          </w:tcPr>
          <w:p>
            <w:r/>
            <w:r>
              <w:rPr>
                <w:rFonts w:ascii="Times New Roman" w:hAnsi="Times New Roman"/>
                <w:sz w:val="18"/>
              </w:rPr>
              <w:t>AGES score, median (IQR)</w:t>
            </w:r>
          </w:p>
        </w:tc>
        <w:tc>
          <w:tcPr>
            <w:tcW w:type="dxa" w:w="3120"/>
          </w:tcPr>
          <w:p>
            <w:r/>
            <w:r>
              <w:rPr>
                <w:rFonts w:ascii="Times New Roman" w:hAnsi="Times New Roman"/>
                <w:sz w:val="18"/>
              </w:rPr>
              <w:t>5.9 (3.0–7.3)</w:t>
            </w:r>
          </w:p>
        </w:tc>
        <w:tc>
          <w:tcPr>
            <w:tcW w:type="dxa" w:w="3120"/>
          </w:tcPr>
          <w:p>
            <w:r/>
            <w:r>
              <w:rPr>
                <w:rFonts w:ascii="Times New Roman" w:hAnsi="Times New Roman"/>
                <w:sz w:val="18"/>
              </w:rPr>
              <w:t>8.0 (7.5–8.9)</w:t>
            </w:r>
          </w:p>
        </w:tc>
      </w:tr>
      <w:tr>
        <w:tc>
          <w:tcPr>
            <w:tcW w:type="dxa" w:w="3120"/>
          </w:tcPr>
          <w:p>
            <w:r/>
            <w:r>
              <w:rPr>
                <w:rFonts w:ascii="Times New Roman" w:hAnsi="Times New Roman"/>
                <w:sz w:val="18"/>
              </w:rPr>
              <w:t>Follow-up, y, median (IQR)</w:t>
            </w:r>
          </w:p>
        </w:tc>
        <w:tc>
          <w:tcPr>
            <w:tcW w:type="dxa" w:w="3120"/>
          </w:tcPr>
          <w:p>
            <w:r/>
            <w:r>
              <w:rPr>
                <w:rFonts w:ascii="Times New Roman" w:hAnsi="Times New Roman"/>
                <w:sz w:val="18"/>
              </w:rPr>
              <w:t>1.20 (0.00–5.89)</w:t>
            </w:r>
          </w:p>
        </w:tc>
        <w:tc>
          <w:tcPr>
            <w:tcW w:type="dxa" w:w="3120"/>
          </w:tcPr>
          <w:p>
            <w:r/>
            <w:r>
              <w:rPr>
                <w:rFonts w:ascii="Times New Roman" w:hAnsi="Times New Roman"/>
                <w:sz w:val="18"/>
              </w:rPr>
              <w:t>9.68 (4.53–13.84)</w:t>
            </w:r>
          </w:p>
        </w:tc>
      </w:tr>
      <w:tr>
        <w:tc>
          <w:tcPr>
            <w:tcW w:type="dxa" w:w="3120"/>
          </w:tcPr>
          <w:p>
            <w:r/>
            <w:r>
              <w:rPr>
                <w:rFonts w:ascii="Times New Roman" w:hAnsi="Times New Roman"/>
                <w:sz w:val="18"/>
              </w:rPr>
              <w:t>Path-proven recurrence</w:t>
            </w:r>
          </w:p>
        </w:tc>
        <w:tc>
          <w:tcPr>
            <w:tcW w:type="dxa" w:w="3120"/>
          </w:tcPr>
          <w:p>
            <w:r/>
            <w:r>
              <w:rPr>
                <w:rFonts w:ascii="Times New Roman" w:hAnsi="Times New Roman"/>
                <w:sz w:val="18"/>
              </w:rPr>
              <w:t>—</w:t>
            </w:r>
          </w:p>
        </w:tc>
        <w:tc>
          <w:tcPr>
            <w:tcW w:type="dxa" w:w="3120"/>
          </w:tcPr>
          <w:p>
            <w:r/>
            <w:r>
              <w:rPr>
                <w:rFonts w:ascii="Times New Roman" w:hAnsi="Times New Roman"/>
                <w:sz w:val="18"/>
              </w:rPr>
              <w:t>3</w:t>
            </w:r>
          </w:p>
        </w:tc>
      </w:tr>
      <w:tr>
        <w:tc>
          <w:tcPr>
            <w:tcW w:type="dxa" w:w="3120"/>
          </w:tcPr>
          <w:p>
            <w:r/>
            <w:r>
              <w:rPr>
                <w:rFonts w:ascii="Times New Roman" w:hAnsi="Times New Roman"/>
                <w:sz w:val="18"/>
              </w:rPr>
              <w:t>Imaging-only unconfirmed</w:t>
            </w:r>
          </w:p>
        </w:tc>
        <w:tc>
          <w:tcPr>
            <w:tcW w:type="dxa" w:w="3120"/>
          </w:tcPr>
          <w:p>
            <w:r/>
            <w:r>
              <w:rPr>
                <w:rFonts w:ascii="Times New Roman" w:hAnsi="Times New Roman"/>
                <w:sz w:val="18"/>
              </w:rPr>
              <w:t>—</w:t>
            </w:r>
          </w:p>
        </w:tc>
        <w:tc>
          <w:tcPr>
            <w:tcW w:type="dxa" w:w="3120"/>
          </w:tcPr>
          <w:p>
            <w:r/>
            <w:r>
              <w:rPr>
                <w:rFonts w:ascii="Times New Roman" w:hAnsi="Times New Roman"/>
                <w:sz w:val="18"/>
              </w:rPr>
              <w:t>1</w:t>
            </w:r>
          </w:p>
        </w:tc>
      </w:tr>
    </w:tbl>
    <w:p>
      <w:r>
        <w:rPr>
          <w:rFonts w:ascii="Times New Roman" w:hAnsi="Times New Roman"/>
          <w:b w:val="0"/>
          <w:i/>
          <w:sz w:val="22"/>
        </w:rPr>
        <w:t>Composite recurrence = path-proven OR imaging-only-unconfirmed. The audit shows that the four composite-recurrent no/negative patients differ systematically from the 64 non-recurrent no/negative patients in features that increase opportunity for surveillance, tissue sampling, and pathologic confirmation, supporting the framing of the no/negative ETE group as a confounded comparator rather than a clean biologic reference.</w:t>
      </w:r>
    </w:p>
    <w:p>
      <w:r>
        <w:br w:type="page"/>
      </w:r>
    </w:p>
    <w:p>
      <w:pPr>
        <w:pStyle w:val="Heading1"/>
      </w:pPr>
      <w:r>
        <w:rPr>
          <w:rFonts w:ascii="Times New Roman" w:hAnsi="Times New Roman"/>
          <w:color w:val="000000"/>
        </w:rPr>
        <w:t>Suggested Figure Legends</w:t>
      </w:r>
    </w:p>
    <w:p>
      <w:r>
        <w:rPr>
          <w:rFonts w:ascii="Times New Roman" w:hAnsi="Times New Roman"/>
          <w:b w:val="0"/>
          <w:i w:val="0"/>
          <w:sz w:val="22"/>
        </w:rPr>
        <w:t>Figure 1. CONSORT-style cohort flow diagram. Parent M044 cohort (n = 4,128) after exclusions for non-DTC histology (n = 342), metastatic-only or recurrent-only presentations (n = 175), and unclassifiable ETE (n = 33), yielding the strict-DTC cohort (n = 3,578). ETE groups: no/negative (n = 68), microscopic (n = 2,359), and gross (n = 1,151). The primary regression model included 3,572 patients after dropping six with missing tumor size. The primary endpoint was path-proven recurrence (n = 105).</w:t>
      </w:r>
    </w:p>
    <w:p>
      <w:r>
        <w:rPr>
          <w:rFonts w:ascii="Times New Roman" w:hAnsi="Times New Roman"/>
          <w:b w:val="0"/>
          <w:i w:val="0"/>
          <w:sz w:val="22"/>
        </w:rPr>
        <w:t>Figure 2. Crude recurrence rates by ETE group. Bars show path-proven recurrence (primary endpoint) and composite recurrence (path-proven or imaging-only unconfirmed) for no/negative, microscopic, and gross ETE.</w:t>
      </w:r>
    </w:p>
    <w:p>
      <w:r>
        <w:rPr>
          <w:rFonts w:ascii="Times New Roman" w:hAnsi="Times New Roman"/>
          <w:b w:val="0"/>
          <w:i w:val="0"/>
          <w:sz w:val="22"/>
        </w:rPr>
        <w:t>Figure 3. Forest plot of gross-vs-microscopic ETE odds ratios across all model specifications: crude, primary (no RAI), +RAI, +BRAF/TERT, +LN topography, ETE × LN-burden interaction, PTC-only, composite-LVI, follow-up &gt; 0 sensitivity, and follow-up ≥ 1 year sensitivity.</w:t>
      </w:r>
    </w:p>
    <w:p>
      <w:pPr>
        <w:pStyle w:val="Heading1"/>
      </w:pPr>
      <w:r>
        <w:rPr>
          <w:rFonts w:ascii="Times New Roman" w:hAnsi="Times New Roman"/>
          <w:color w:val="000000"/>
        </w:rPr>
        <w:t>Supplemental Materials Outline</w:t>
      </w:r>
    </w:p>
    <w:p>
      <w:r>
        <w:rPr>
          <w:rFonts w:ascii="Times New Roman" w:hAnsi="Times New Roman"/>
          <w:b w:val="0"/>
          <w:i w:val="0"/>
          <w:sz w:val="22"/>
        </w:rPr>
        <w:t>eMethods 1. Cohort construction and strict-DTC lock: parent cohort n = 4,128; exclusions n = 550; final strict-DTC cohort n = 3,578; ETE groups; endpoint hierarchy; software.</w:t>
      </w:r>
    </w:p>
    <w:p>
      <w:r>
        <w:rPr>
          <w:rFonts w:ascii="Times New Roman" w:hAnsi="Times New Roman"/>
          <w:b w:val="0"/>
          <w:i w:val="0"/>
          <w:sz w:val="22"/>
        </w:rPr>
        <w:t>eMethods 2. Recurrence endpoint adjudication: path-proven as primary endpoint; imaging-only and composite as secondary; legacy flags as audit-only.</w:t>
      </w:r>
    </w:p>
    <w:p>
      <w:r>
        <w:rPr>
          <w:rFonts w:ascii="Times New Roman" w:hAnsi="Times New Roman"/>
          <w:b w:val="0"/>
          <w:i w:val="0"/>
          <w:sz w:val="22"/>
        </w:rPr>
        <w:t>eMethods 3. Regression modeling: covariate set; complete-case frame; missing/indeterminate categories; quasi-separation; RAI and molecular sensitivity models.</w:t>
      </w:r>
    </w:p>
    <w:p>
      <w:r>
        <w:rPr>
          <w:rFonts w:ascii="Times New Roman" w:hAnsi="Times New Roman"/>
          <w:b w:val="0"/>
          <w:i w:val="0"/>
          <w:sz w:val="22"/>
        </w:rPr>
        <w:t>eMethods 4. No/negative ETE audit rationale: recurrent vs non-recurrent comparison and ascertainment-bias framework.</w:t>
      </w:r>
    </w:p>
    <w:p>
      <w:r>
        <w:rPr>
          <w:rFonts w:ascii="Times New Roman" w:hAnsi="Times New Roman"/>
          <w:b w:val="0"/>
          <w:i w:val="0"/>
          <w:sz w:val="22"/>
        </w:rPr>
        <w:t>eFigure 1. CONSORT-style cohort flow diagram.</w:t>
      </w:r>
    </w:p>
    <w:p>
      <w:r>
        <w:rPr>
          <w:rFonts w:ascii="Times New Roman" w:hAnsi="Times New Roman"/>
          <w:b w:val="0"/>
          <w:i w:val="0"/>
          <w:sz w:val="22"/>
        </w:rPr>
        <w:t>eFigure 2. Forest plot of gross-vs-microscopic ETE odds ratios across all model specifications.</w:t>
      </w:r>
    </w:p>
    <w:p>
      <w:r>
        <w:rPr>
          <w:rFonts w:ascii="Times New Roman" w:hAnsi="Times New Roman"/>
          <w:b w:val="0"/>
          <w:i w:val="0"/>
          <w:sz w:val="22"/>
        </w:rPr>
        <w:t>eFigure 3. Directed acyclic graph for ETE, treatment selection, nodal burden, LVI, surveillance intensity, and observed recurrence.</w:t>
      </w:r>
    </w:p>
    <w:p>
      <w:r>
        <w:rPr>
          <w:rFonts w:ascii="Times New Roman" w:hAnsi="Times New Roman"/>
          <w:b w:val="0"/>
          <w:i w:val="0"/>
          <w:sz w:val="22"/>
        </w:rPr>
        <w:t>eTable 1. Expanded baseline characteristics by ETE group, including race, BMI, T stage, stage group, molecular markers, AGES score, and death (descriptive).</w:t>
      </w:r>
    </w:p>
    <w:p>
      <w:r>
        <w:rPr>
          <w:rFonts w:ascii="Times New Roman" w:hAnsi="Times New Roman"/>
          <w:b w:val="0"/>
          <w:i w:val="0"/>
          <w:sz w:val="22"/>
        </w:rPr>
        <w:t>eTable 2. Follow-up distribution by ETE group and recurrence status, including zero-follow-up counts and follow-up among recurrences.</w:t>
      </w:r>
    </w:p>
    <w:p>
      <w:r>
        <w:rPr>
          <w:rFonts w:ascii="Times New Roman" w:hAnsi="Times New Roman"/>
          <w:b w:val="0"/>
          <w:i w:val="0"/>
          <w:sz w:val="22"/>
        </w:rPr>
        <w:t>eTable 3. Full primary multivariable logistic-regression output.</w:t>
      </w:r>
    </w:p>
    <w:p>
      <w:r>
        <w:rPr>
          <w:rFonts w:ascii="Times New Roman" w:hAnsi="Times New Roman"/>
          <w:b w:val="0"/>
          <w:i w:val="0"/>
          <w:sz w:val="22"/>
        </w:rPr>
        <w:t>eTable 4. Prespecified sensitivity models — crude, primary, +RAI, +BRAF/TERT — full coefficient output.</w:t>
      </w:r>
    </w:p>
    <w:p>
      <w:r>
        <w:rPr>
          <w:rFonts w:ascii="Times New Roman" w:hAnsi="Times New Roman"/>
          <w:b w:val="0"/>
          <w:i w:val="0"/>
          <w:sz w:val="22"/>
        </w:rPr>
        <w:t>eTable 5. Exploratory regression models — +LN topography, ETE × LN-burden interaction, PTC-only restriction, composite-LVI model — full coefficient output.</w:t>
      </w:r>
    </w:p>
    <w:p>
      <w:r>
        <w:rPr>
          <w:rFonts w:ascii="Times New Roman" w:hAnsi="Times New Roman"/>
          <w:b w:val="0"/>
          <w:i w:val="0"/>
          <w:sz w:val="22"/>
        </w:rPr>
        <w:t>eTable 6. Histology-restricted and histology-stratified analyses, with sparse categories labeled exploratory.</w:t>
      </w:r>
    </w:p>
    <w:p>
      <w:r>
        <w:rPr>
          <w:rFonts w:ascii="Times New Roman" w:hAnsi="Times New Roman"/>
          <w:b w:val="0"/>
          <w:i w:val="0"/>
          <w:sz w:val="22"/>
        </w:rPr>
        <w:t>eTable 7. N-stage subgroup analyses with descriptive recurrence rates by N0, N1a, N1b, and Nx.</w:t>
      </w:r>
    </w:p>
    <w:p>
      <w:r>
        <w:rPr>
          <w:rFonts w:ascii="Times New Roman" w:hAnsi="Times New Roman"/>
          <w:b w:val="0"/>
          <w:i w:val="0"/>
          <w:sz w:val="22"/>
        </w:rPr>
        <w:t>eTable 8. Detailed lymphatic and vascular invasion cross-tabulation by ETE group.</w:t>
      </w:r>
    </w:p>
    <w:p>
      <w:r>
        <w:rPr>
          <w:rFonts w:ascii="Times New Roman" w:hAnsi="Times New Roman"/>
          <w:b w:val="0"/>
          <w:i w:val="0"/>
          <w:sz w:val="22"/>
        </w:rPr>
        <w:t>eTable 9. Lymph-node burden and nodal topography by ETE group and among recurrent patients.</w:t>
      </w:r>
    </w:p>
    <w:p>
      <w:r>
        <w:rPr>
          <w:rFonts w:ascii="Times New Roman" w:hAnsi="Times New Roman"/>
          <w:b w:val="0"/>
          <w:i w:val="0"/>
          <w:sz w:val="22"/>
        </w:rPr>
        <w:t>eTable 10. No/negative ETE audit: full row-by-row recurrent vs non-recurrent comparison plus de-identified case profiles for the three path-proven events.</w:t>
      </w:r>
    </w:p>
    <w:p>
      <w:r>
        <w:rPr>
          <w:rFonts w:ascii="Times New Roman" w:hAnsi="Times New Roman"/>
          <w:b w:val="0"/>
          <w:i w:val="0"/>
          <w:sz w:val="22"/>
        </w:rPr>
        <w:t>eTable 11. Missingness and quasi-separation audit.</w:t>
      </w:r>
    </w:p>
    <w:p>
      <w:r>
        <w:rPr>
          <w:rFonts w:ascii="Times New Roman" w:hAnsi="Times New Roman"/>
          <w:b w:val="0"/>
          <w:i w:val="0"/>
          <w:sz w:val="22"/>
        </w:rPr>
        <w:t>eTable 12. Sensitivity analysis excluding zero-follow-up patients (full coefficient output) and the more restrictive follow-up ≥ 1 year analysis.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