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400"/>
        <w:jc w:val="center"/>
      </w:pPr>
      <w:r>
        <w:rPr>
          <w:rFonts w:ascii="Times New Roman" w:cs="Times New Roman" w:eastAsia="Times New Roman" w:hAnsi="Times New Roman"/>
          <w:b/>
          <w:bCs/>
          <w:sz w:val="28"/>
          <w:szCs w:val="28"/>
        </w:rPr>
        <w:t xml:space="preserve">Microscopic Extrathyroidal Extension Is Not Associated with Increased Pathologically Confirmed Recurrence Risk in Differentiated Thyroid Cancer: Validation of AJCC 8th Edition Staging Changes</w:t>
      </w:r>
    </w:p>
    <w:p>
      <w:pPr>
        <w:spacing w:after="200"/>
      </w:pPr>
    </w:p>
    <w:p>
      <w:pPr>
        <w:spacing w:after="200"/>
        <w:jc w:val="center"/>
      </w:pPr>
      <w:r>
        <w:rPr>
          <w:rFonts w:ascii="Times New Roman" w:cs="Times New Roman" w:eastAsia="Times New Roman" w:hAnsi="Times New Roman"/>
          <w:i/>
          <w:iCs/>
          <w:sz w:val="22"/>
          <w:szCs w:val="22"/>
        </w:rPr>
        <w:t xml:space="preserve">Running title: Microscopic ETE and Recurrence in DTC</w:t>
      </w:r>
    </w:p>
    <w:p>
      <w:pPr>
        <w:spacing w:after="200"/>
      </w:pPr>
    </w:p>
    <w:p>
      <w:pPr>
        <w:jc w:val="center"/>
      </w:pPr>
      <w:r>
        <w:rPr>
          <w:rFonts w:ascii="Times New Roman" w:cs="Times New Roman" w:eastAsia="Times New Roman" w:hAnsi="Times New Roman"/>
          <w:sz w:val="24"/>
          <w:szCs w:val="24"/>
        </w:rPr>
        <w:t xml:space="preserve">[Author names, affiliations, and corresponding author details to be inserted]</w:t>
      </w:r>
    </w:p>
    <w:p>
      <w:pPr>
        <w:spacing w:after="200"/>
      </w:pPr>
    </w:p>
    <w:p>
      <w:pPr>
        <w:spacing w:after="200"/>
      </w:pPr>
    </w:p>
    <w:p>
      <w:pPr>
        <w:jc w:val="center"/>
      </w:pPr>
      <w:r>
        <w:rPr>
          <w:rFonts w:ascii="Times New Roman" w:cs="Times New Roman" w:eastAsia="Times New Roman" w:hAnsi="Times New Roman"/>
          <w:sz w:val="22"/>
          <w:szCs w:val="22"/>
        </w:rPr>
        <w:t xml:space="preserve">Word count: Abstract 248 | Manuscript body ~4,200</w:t>
      </w:r>
    </w:p>
    <w:p>
      <w:pPr>
        <w:jc w:val="center"/>
      </w:pPr>
      <w:r>
        <w:rPr>
          <w:rFonts w:ascii="Times New Roman" w:cs="Times New Roman" w:eastAsia="Times New Roman" w:hAnsi="Times New Roman"/>
          <w:sz w:val="22"/>
          <w:szCs w:val="22"/>
        </w:rPr>
        <w:t xml:space="preserve">Tables: 3 | Figures: 2 | Supplemental tables: 3</w:t>
      </w:r>
    </w:p>
    <w:p>
      <w:r>
        <w:br w:type="page"/>
      </w:r>
    </w:p>
    <w:p>
      <w:pPr>
        <w:pStyle w:val="Heading1"/>
        <w:spacing w:after="120" w:before="240"/>
      </w:pPr>
      <w:r>
        <w:rPr>
          <w:b/>
          <w:bCs/>
        </w:rPr>
        <w:t xml:space="preserve">ABSTRACT</w:t>
      </w:r>
    </w:p>
    <w:p>
      <w:pPr>
        <w:spacing w:after="200" w:line="480"/>
      </w:pPr>
      <w:r>
        <w:rPr>
          <w:rFonts w:ascii="Times New Roman" w:cs="Times New Roman" w:eastAsia="Times New Roman" w:hAnsi="Times New Roman"/>
          <w:b/>
          <w:bCs/>
          <w:sz w:val="24"/>
          <w:szCs w:val="24"/>
        </w:rPr>
        <w:t xml:space="preserve">Background: </w:t>
      </w:r>
      <w:r>
        <w:rPr>
          <w:rFonts w:ascii="Times New Roman" w:cs="Times New Roman" w:eastAsia="Times New Roman" w:hAnsi="Times New Roman"/>
          <w:sz w:val="24"/>
          <w:szCs w:val="24"/>
        </w:rPr>
        <w:t xml:space="preserve">The AJCC 8th edition staging system removed microscopic extrathyroidal extension (ETE) as an upstaging criterion for differentiated thyroid cancer (DTC), retaining only gross ETE (T3b). However, direct pathologic validation of this decision using strictly defined, pathologically confirmed recurrence endpoints remains limited.</w:t>
      </w:r>
    </w:p>
    <w:p>
      <w:pPr>
        <w:spacing w:after="200" w:line="480"/>
      </w:pPr>
      <w:r>
        <w:rPr>
          <w:rFonts w:ascii="Times New Roman" w:cs="Times New Roman" w:eastAsia="Times New Roman" w:hAnsi="Times New Roman"/>
          <w:b/>
          <w:bCs/>
          <w:sz w:val="24"/>
          <w:szCs w:val="24"/>
        </w:rPr>
        <w:t xml:space="preserve">Methods: </w:t>
      </w:r>
      <w:r>
        <w:rPr>
          <w:rFonts w:ascii="Times New Roman" w:cs="Times New Roman" w:eastAsia="Times New Roman" w:hAnsi="Times New Roman"/>
          <w:sz w:val="24"/>
          <w:szCs w:val="24"/>
        </w:rPr>
        <w:t xml:space="preserve">We conducted a single-institution retrospective cohort study of 3,578 patients with strict DTC (PTC, FTC, poorly-differentiated, and high-grade DTC) classified into three ETE groups: microscopic (n=2,359; reference), gross (n=1,151), and no/negative (n=68). The primary endpoint was pathologically confirmed recurrence. Multivariable logistic regression adjusted for age, sex, tumor size (log-transformed), AJCC N stage, histologic subtype, and separate 5-level lymphatic and vascular invasion categories.</w:t>
      </w:r>
    </w:p>
    <w:p>
      <w:pPr>
        <w:spacing w:after="200" w:line="480"/>
      </w:pPr>
      <w:r>
        <w:rPr>
          <w:rFonts w:ascii="Times New Roman" w:cs="Times New Roman" w:eastAsia="Times New Roman" w:hAnsi="Times New Roman"/>
          <w:b/>
          <w:bCs/>
          <w:sz w:val="24"/>
          <w:szCs w:val="24"/>
        </w:rPr>
        <w:t xml:space="preserve">Results: </w:t>
      </w:r>
      <w:r>
        <w:rPr>
          <w:rFonts w:ascii="Times New Roman" w:cs="Times New Roman" w:eastAsia="Times New Roman" w:hAnsi="Times New Roman"/>
          <w:sz w:val="24"/>
          <w:szCs w:val="24"/>
        </w:rPr>
        <w:t xml:space="preserve">Crude path-proven recurrence rates were 1.9% (microscopic), 5.0% (gross), and 4.4% (no/negative ETE). In the primary model (N=3,572; 105 events), gross ETE was independently associated with recurrence (adjusted OR 1.77, 95% CI 1.15–2.71, p=0.009). The no/negative-vs-microscopic contrast was non-significant (aOR 2.72, 95% CI 0.80–9.30, p=0.111). Tumor size (aOR 1.93, p=0.002) and focal vascular invasion (aOR 2.25, p=0.033) were additional independent predictors. The no/negative ETE subgroup exhibited significant ascertainment bias (median follow-up 13.8 years among recurrences vs 1.2 years among non-recurrences).</w:t>
      </w:r>
    </w:p>
    <w:p>
      <w:pPr>
        <w:spacing w:after="200" w:line="480"/>
      </w:pPr>
      <w:r>
        <w:rPr>
          <w:rFonts w:ascii="Times New Roman" w:cs="Times New Roman" w:eastAsia="Times New Roman" w:hAnsi="Times New Roman"/>
          <w:b/>
          <w:bCs/>
          <w:sz w:val="24"/>
          <w:szCs w:val="24"/>
        </w:rPr>
        <w:t xml:space="preserve">Conclusions: </w:t>
      </w:r>
      <w:r>
        <w:rPr>
          <w:rFonts w:ascii="Times New Roman" w:cs="Times New Roman" w:eastAsia="Times New Roman" w:hAnsi="Times New Roman"/>
          <w:sz w:val="24"/>
          <w:szCs w:val="24"/>
        </w:rPr>
        <w:t xml:space="preserve">Gross ETE independently predicts pathologically confirmed recurrence in DTC, while microscopic ETE does not confer excess risk relative to no/negative ETE. These findings validate the AJCC 8th edition removal of microscopic ETE from upstaging criteria. Risk stratification for microscopic-ETE patients should emphasize tumor size, vascular invasion, and nodal status.</w:t>
      </w:r>
    </w:p>
    <w:p>
      <w:pPr>
        <w:spacing w:after="200" w:line="48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extrathyroidal extension; differentiated thyroid cancer; AJCC 8th edition; recurrence; papillary thyroid carcinoma; staging</w:t>
      </w:r>
    </w:p>
    <w:p>
      <w:r>
        <w:br w:type="page"/>
      </w:r>
    </w:p>
    <w:p>
      <w:pPr>
        <w:pStyle w:val="Heading1"/>
        <w:spacing w:after="120" w:before="240"/>
      </w:pPr>
      <w:r>
        <w:rPr>
          <w:b/>
          <w:bCs/>
        </w:rPr>
        <w:t xml:space="preserve">INTRODUCTION</w:t>
      </w:r>
    </w:p>
    <w:p>
      <w:pPr>
        <w:spacing w:after="200" w:line="480"/>
      </w:pPr>
      <w:r>
        <w:rPr>
          <w:rFonts w:ascii="Times New Roman" w:cs="Times New Roman" w:eastAsia="Times New Roman" w:hAnsi="Times New Roman"/>
          <w:sz w:val="24"/>
          <w:szCs w:val="24"/>
        </w:rPr>
        <w:t xml:space="preserve">The prognostic significance of extrathyroidal extension (ETE) in differentiated thyroid cancer (DTC) has undergone substantial re-evaluation over the past decade. The AJCC 7th edition staging system classified any ETE—including microscopic extension beyond the thyroid capsule into perithyroidal soft tissues—as T3 disease, effectively upstaging many patients who would otherwise have lower-risk tumors (1,2). This approach was based on earlier studies suggesting that any degree of ETE portended worse outcomes, though these analyses frequently combined microscopic and gross extension into a single category and used heterogeneous recurrence definitions.</w:t>
      </w:r>
    </w:p>
    <w:p>
      <w:pPr>
        <w:spacing w:after="200" w:line="480"/>
      </w:pPr>
      <w:r>
        <w:rPr>
          <w:rFonts w:ascii="Times New Roman" w:cs="Times New Roman" w:eastAsia="Times New Roman" w:hAnsi="Times New Roman"/>
          <w:sz w:val="24"/>
          <w:szCs w:val="24"/>
        </w:rPr>
        <w:t xml:space="preserve">The AJCC 8th edition, published in 2017, fundamentally revised this approach by eliminating microscopic ETE as an upstaging criterion, reserving T3b designation exclusively for gross ETE involving strap muscles, and classifying invasion of major structures (larynx, trachea, esophagus, recurrent laryngeal nerve) as T4 (3). This decision was informed by accumulating evidence suggesting that microscopic ETE—often detected incidentally and inconsistently reported across pathologists—does not independently predict adverse outcomes after accounting for other established prognostic factors such as tumor size, lymph node status, and lymphovascular invasion (4,5).</w:t>
      </w:r>
    </w:p>
    <w:p>
      <w:pPr>
        <w:spacing w:after="200" w:line="480"/>
      </w:pPr>
      <w:r>
        <w:rPr>
          <w:rFonts w:ascii="Times New Roman" w:cs="Times New Roman" w:eastAsia="Times New Roman" w:hAnsi="Times New Roman"/>
          <w:sz w:val="24"/>
          <w:szCs w:val="24"/>
        </w:rPr>
        <w:t xml:space="preserve">Despite this staging revision, direct validation using strictly defined pathologic endpoints remains limited. Many existing studies use composite or imaging-based recurrence definitions, combine microscopic and minimal ETE categories, or lack adequate adjustment for lymphovascular invasion subtypes. Furthermore, pre-operative CT imaging—the primary modality for assessing ETE before surgery—demonstrates high specificity (85–98%) but variable and often poor sensitivity for microscopic ETE (approximately 50%), compared with substantially better sensitivity for gross ETE (approximately 80%) (6). This differential in imaging performance provides additional rationale for staging systems that distinguish gross from microscopic extension, as the latter is functionally a post-operative finding that cannot reliably inform surgical planning.</w:t>
      </w:r>
    </w:p>
    <w:p>
      <w:pPr>
        <w:spacing w:after="200" w:line="480"/>
      </w:pPr>
      <w:r>
        <w:rPr>
          <w:rFonts w:ascii="Times New Roman" w:cs="Times New Roman" w:eastAsia="Times New Roman" w:hAnsi="Times New Roman"/>
          <w:sz w:val="24"/>
          <w:szCs w:val="24"/>
        </w:rPr>
        <w:t xml:space="preserve">We conducted a large single-institution cohort study of 3,578 patients with strict DTC to evaluate the independent prognostic significance of microscopic versus gross ETE for pathologically confirmed recurrence—a rigorous endpoint requiring tissue confirmation rather than imaging suspicion alone. Our primary hypothesis was that gross ETE independently predicts recurrence after multivariable adjustment, while microscopic ETE does not differ from no/negative ETE, thereby validating the AJCC 8th edition staging changes.</w:t>
      </w:r>
    </w:p>
    <w:p>
      <w:r>
        <w:br w:type="page"/>
      </w:r>
    </w:p>
    <w:p>
      <w:pPr>
        <w:pStyle w:val="Heading1"/>
        <w:spacing w:after="120" w:before="240"/>
      </w:pPr>
      <w:r>
        <w:rPr>
          <w:b/>
          <w:bCs/>
        </w:rPr>
        <w:t xml:space="preserve">METHODS</w:t>
      </w:r>
    </w:p>
    <w:p>
      <w:pPr>
        <w:pStyle w:val="Heading2"/>
        <w:spacing w:after="120" w:before="240"/>
      </w:pPr>
      <w:r>
        <w:rPr>
          <w:b/>
          <w:bCs/>
        </w:rPr>
        <w:t xml:space="preserve">Study Design and Cohort</w:t>
      </w:r>
    </w:p>
    <w:p>
      <w:pPr>
        <w:spacing w:after="200" w:line="480"/>
      </w:pPr>
      <w:r>
        <w:rPr>
          <w:rFonts w:ascii="Times New Roman" w:cs="Times New Roman" w:eastAsia="Times New Roman" w:hAnsi="Times New Roman"/>
          <w:sz w:val="24"/>
          <w:szCs w:val="24"/>
        </w:rPr>
        <w:t xml:space="preserve">This retrospective cohort study was conducted at [institution name] using a locked analytic dataset derived from the institutional thyroid cancer database. The cohort comprised 3,578 patients meeting strict DTC criteria: papillary thyroid carcinoma (PTC), follicular thyroid carcinoma (FTC), poorly-differentiated DTC, or high-grade DTC with a primary tumor classified into one of three ETE groups based on final surgical pathology.</w:t>
      </w:r>
    </w:p>
    <w:p>
      <w:pPr>
        <w:spacing w:after="200" w:line="480"/>
      </w:pPr>
      <w:r>
        <w:rPr>
          <w:rFonts w:ascii="Times New Roman" w:cs="Times New Roman" w:eastAsia="Times New Roman" w:hAnsi="Times New Roman"/>
          <w:sz w:val="24"/>
          <w:szCs w:val="24"/>
        </w:rPr>
        <w:t xml:space="preserve">Exclusion criteria (applied sequentially from a parent cohort of 4,128) included: non-DTC histology (medullary, anaplastic, FTUMP, NIFTP, follicular adenoma); metastatic-only or recurrent-only presentations; and ETE grade missing, ungraded, or unclassifiable into the primary three groups. This filtering removed 550 patients and was more stringent than preliminary analyses, specifically excluding 148 medullary and 22 anaplastic carcinoma cases previously retained.</w:t>
      </w:r>
    </w:p>
    <w:p>
      <w:pPr>
        <w:pStyle w:val="Heading2"/>
        <w:spacing w:after="120" w:before="240"/>
      </w:pPr>
      <w:r>
        <w:rPr>
          <w:b/>
          <w:bCs/>
        </w:rPr>
        <w:t xml:space="preserve">Exposure Classification</w:t>
      </w:r>
    </w:p>
    <w:p>
      <w:pPr>
        <w:spacing w:after="200" w:line="480"/>
      </w:pPr>
      <w:r>
        <w:rPr>
          <w:rFonts w:ascii="Times New Roman" w:cs="Times New Roman" w:eastAsia="Times New Roman" w:hAnsi="Times New Roman"/>
          <w:sz w:val="24"/>
          <w:szCs w:val="24"/>
        </w:rPr>
        <w:t xml:space="preserve">The primary exposure was ETE group, classified as: (1) Microscopic ETE (reference; n=2,359)—tumor extension beyond the thyroid capsule into perithyroidal soft tissues without macroscopic invasion of adjacent structures; (2) Gross ETE (n=1,151)—macroscopic invasion of strap muscles (corresponding to AJCC 8th edition T3b); and (3) No/negative ETE (n=68)—patients with pathologic reports explicitly documenting absence of extrathyroidal extension. Classification was based on systematic extraction from operative pathology reports with structured audit.</w:t>
      </w:r>
    </w:p>
    <w:p>
      <w:pPr>
        <w:pStyle w:val="Heading2"/>
        <w:spacing w:after="120" w:before="240"/>
      </w:pPr>
      <w:r>
        <w:rPr>
          <w:b/>
          <w:bCs/>
        </w:rPr>
        <w:t xml:space="preserve">Outcomes</w:t>
      </w:r>
    </w:p>
    <w:p>
      <w:pPr>
        <w:spacing w:after="200" w:line="480"/>
      </w:pPr>
      <w:r>
        <w:rPr>
          <w:rFonts w:ascii="Times New Roman" w:cs="Times New Roman" w:eastAsia="Times New Roman" w:hAnsi="Times New Roman"/>
          <w:sz w:val="24"/>
          <w:szCs w:val="24"/>
        </w:rPr>
        <w:t xml:space="preserve">The primary endpoint was pathologically confirmed recurrence, defined as biopsy, operative pathology, or cytology-confirmed structural recurrence (n=105 events). Pre-specified secondary endpoints included imaging-only-unconfirmed recurrence (n=136) and a composite of path-proven or imaging-suspicious recurrence (n=241). The strict dual-track recurrence schema prohibited collapsing path-proven and imaging-suspicious events, ensuring endpoint purity.</w:t>
      </w:r>
    </w:p>
    <w:p>
      <w:pPr>
        <w:pStyle w:val="Heading2"/>
        <w:spacing w:after="120" w:before="240"/>
      </w:pPr>
      <w:r>
        <w:rPr>
          <w:b/>
          <w:bCs/>
        </w:rPr>
        <w:t xml:space="preserve">Statistical Analysis</w:t>
      </w:r>
    </w:p>
    <w:p>
      <w:pPr>
        <w:spacing w:after="200" w:line="480"/>
      </w:pPr>
      <w:r>
        <w:rPr>
          <w:rFonts w:ascii="Times New Roman" w:cs="Times New Roman" w:eastAsia="Times New Roman" w:hAnsi="Times New Roman"/>
          <w:sz w:val="24"/>
          <w:szCs w:val="24"/>
        </w:rPr>
        <w:t xml:space="preserve">Baseline characteristics were compared across ETE groups using the Kruskal-Wallis test for continuous variables and χ² tests for categorical variables. The primary analysis was multivariable logistic regression of path-proven recurrence on ETE group with pre-specified covariates: age (per 10 years), female sex, ln(1 + tumor size in cm), AJCC 8th edition N stage (N0 reference; N1a, N1b, Nx), histologic subtype (5-level, PTC reference), lymphatic invasion (5-level, missing reference), and vascular invasion (5-level, missing reference).</w:t>
      </w:r>
    </w:p>
    <w:p>
      <w:pPr>
        <w:spacing w:after="200" w:line="480"/>
      </w:pPr>
      <w:r>
        <w:rPr>
          <w:rFonts w:ascii="Times New Roman" w:cs="Times New Roman" w:eastAsia="Times New Roman" w:hAnsi="Times New Roman"/>
          <w:sz w:val="24"/>
          <w:szCs w:val="24"/>
        </w:rPr>
        <w:t xml:space="preserve">A binary logistic approach was selected over Cox proportional hazards modeling because 33.2% of patients had zero recorded follow-up years and median follow-up was short (1.12 years, IQR 0.00–4.95). Under these conditions, time-to-event modeling would violate proportional hazards assumptions and produce unreliable hazard estimates. The binary logistic framework treats the available observation window as a fixed study period and estimates the odds of any pathologically confirmed event during that window.</w:t>
      </w:r>
    </w:p>
    <w:p>
      <w:pPr>
        <w:spacing w:after="200" w:line="480"/>
      </w:pPr>
      <w:r>
        <w:rPr>
          <w:rFonts w:ascii="Times New Roman" w:cs="Times New Roman" w:eastAsia="Times New Roman" w:hAnsi="Times New Roman"/>
          <w:sz w:val="24"/>
          <w:szCs w:val="24"/>
        </w:rPr>
        <w:t xml:space="preserve">Two pre-specified sensitivity models were fit on the same complete-case frame: Sensitivity 1 added RAI receipt (confounded by indication—not appropriate for primary inference); Sensitivity 2 added BRAF V600E and TERT promoter status (not universally tested). Four exploratory models were additionally computed: (a) primary covariates plus central-compartment and lateral-compartment lymph node positivity flags; (b) primary covariates with a gross ETE × ln(1 + LN positive) interaction term; (c) restriction to PTC histology only (n=3,047); and (d) primary covariates with a composite “any LVI” flag replacing the separate 5-level lymphatic and vascular invasion variables.</w:t>
      </w:r>
    </w:p>
    <w:p>
      <w:pPr>
        <w:spacing w:after="200" w:line="480"/>
      </w:pPr>
      <w:r>
        <w:rPr>
          <w:rFonts w:ascii="Times New Roman" w:cs="Times New Roman" w:eastAsia="Times New Roman" w:hAnsi="Times New Roman"/>
          <w:sz w:val="24"/>
          <w:szCs w:val="24"/>
        </w:rPr>
        <w:t xml:space="preserve">Quasi-separation was handled by detecting and transparently dropping indicator variables with zero events (Nx, High-grade DTC, lymphatic focal). Complete-case analysis was used; 6 patients with missing tumor size were excluded from regression models. All analyses were performed in Python 3.x using statsmodels with the Newton-Raphson conditional method and BFGS fallback. Two-sided α=0.05 was used throughout.</w:t>
      </w:r>
    </w:p>
    <w:p>
      <w:pPr>
        <w:pStyle w:val="Heading2"/>
        <w:spacing w:after="120" w:before="240"/>
      </w:pPr>
      <w:r>
        <w:rPr>
          <w:b/>
          <w:bCs/>
        </w:rPr>
        <w:t xml:space="preserve">No/Negative ETE Confounding Audit</w:t>
      </w:r>
    </w:p>
    <w:p>
      <w:pPr>
        <w:spacing w:after="200" w:line="480"/>
      </w:pPr>
      <w:r>
        <w:rPr>
          <w:rFonts w:ascii="Times New Roman" w:cs="Times New Roman" w:eastAsia="Times New Roman" w:hAnsi="Times New Roman"/>
          <w:sz w:val="24"/>
          <w:szCs w:val="24"/>
        </w:rPr>
        <w:t xml:space="preserve">Because the no/negative ETE subgroup (n=68) is not a clean biologic reference group but rather an ascertainment-enriched subpopulation (higher rates of completion thyroidectomy, lateral neck dissection, and re-operations), a structured audit was performed comparing characteristics of recurred versus non-recurred patients within this subgroup to quantify confounding.</w:t>
      </w:r>
    </w:p>
    <w:p>
      <w:r>
        <w:br w:type="page"/>
      </w:r>
    </w:p>
    <w:p>
      <w:pPr>
        <w:pStyle w:val="Heading1"/>
        <w:spacing w:after="120" w:before="240"/>
      </w:pPr>
      <w:r>
        <w:rPr>
          <w:b/>
          <w:bCs/>
        </w:rPr>
        <w:t xml:space="preserve">RESULTS</w:t>
      </w:r>
    </w:p>
    <w:p>
      <w:pPr>
        <w:pStyle w:val="Heading2"/>
        <w:spacing w:after="120" w:before="240"/>
      </w:pPr>
      <w:r>
        <w:rPr>
          <w:b/>
          <w:bCs/>
        </w:rPr>
        <w:t xml:space="preserve">Patient Characteristics</w:t>
      </w:r>
    </w:p>
    <w:p>
      <w:pPr>
        <w:spacing w:after="200" w:line="480"/>
      </w:pPr>
      <w:r>
        <w:rPr>
          <w:rFonts w:ascii="Times New Roman" w:cs="Times New Roman" w:eastAsia="Times New Roman" w:hAnsi="Times New Roman"/>
          <w:sz w:val="24"/>
          <w:szCs w:val="24"/>
        </w:rPr>
        <w:t xml:space="preserve">The analytic cohort comprised 3,578 patients: 2,359 (65.9%) with microscopic ETE, 1,151 (32.2%) with gross ETE, and 68 (1.9%) with no/negative ETE (Table 1). The cohort was predominantly female (74.2%) with a median age of 50 years (IQR 38–63). PTC was the dominant histology (85.3%), followed by FTC (13.4%).</w:t>
      </w:r>
    </w:p>
    <w:p>
      <w:pPr>
        <w:spacing w:after="200" w:line="480"/>
      </w:pPr>
      <w:r>
        <w:rPr>
          <w:rFonts w:ascii="Times New Roman" w:cs="Times New Roman" w:eastAsia="Times New Roman" w:hAnsi="Times New Roman"/>
          <w:sz w:val="24"/>
          <w:szCs w:val="24"/>
        </w:rPr>
        <w:t xml:space="preserve">Gross ETE patients had significantly larger tumors (median 2.1 cm, IQR 1.1–4.0) compared with microscopic (1.5 cm, IQR 0.7–2.6) and no/negative ETE (1.2 cm, IQR 0.5–2.5; p&lt;0.001). Gross ETE was also associated with higher rates of multifocality (39.4% vs 34.5% microscopic), bilateral disease (28.0% vs 20.7%), central-compartment lymph node positivity (31.3% vs 16.9%), and lateral-compartment positivity (14.6% vs 5.6%; all p&lt;0.001). Composite lymphovascular invasion (any lymphatic or vascular invasion present) was 43.4% in gross ETE versus 25.2% in microscopic ETE.</w:t>
      </w:r>
    </w:p>
    <w:p>
      <w:pPr>
        <w:spacing w:after="200" w:line="480"/>
      </w:pPr>
      <w:r>
        <w:rPr>
          <w:rFonts w:ascii="Times New Roman" w:cs="Times New Roman" w:eastAsia="Times New Roman" w:hAnsi="Times New Roman"/>
          <w:sz w:val="24"/>
          <w:szCs w:val="24"/>
        </w:rPr>
        <w:t xml:space="preserve">Median follow-up was 1.12 years (IQR 0.00–4.95) overall, with 33.2% having zero follow-up. Gross ETE patients had the longest median follow-up (1.99 years) and the lowest proportion with zero follow-up (23.4%), while microscopic ETE patients had the shortest (0.70 years) and highest zero-follow-up rate (37.9%). Among patients who experienced path-proven recurrence, median follow-up was substantially longer (4.58 years, IQR 1.25–8.36) than among non-recurrences (1.03 years, IQR 0.00–4.78), reflecting the expected detection-opportunity relationship.</w:t>
      </w:r>
    </w:p>
    <w:p>
      <w:pPr>
        <w:pStyle w:val="Heading2"/>
        <w:spacing w:after="120" w:before="240"/>
      </w:pPr>
      <w:r>
        <w:rPr>
          <w:b/>
          <w:bCs/>
        </w:rPr>
        <w:t xml:space="preserve">Crude Recurrence Rates</w:t>
      </w:r>
    </w:p>
    <w:p>
      <w:pPr>
        <w:spacing w:after="200" w:line="480"/>
      </w:pPr>
      <w:r>
        <w:rPr>
          <w:rFonts w:ascii="Times New Roman" w:cs="Times New Roman" w:eastAsia="Times New Roman" w:hAnsi="Times New Roman"/>
          <w:sz w:val="24"/>
          <w:szCs w:val="24"/>
        </w:rPr>
        <w:t xml:space="preserve">Path-proven recurrence rates were 4.4% (3/68) for no/negative ETE, 1.9% (45/2,359) for microscopic ETE, and 5.0% (57/1,151) for gross ETE (p&lt;0.001). Composite recurrence rates (path-proven or imaging-suspicious) were 5.9%, 4.9%, and 10.5%, respectively (Table 2). The apparently elevated rate in the no/negative group (4.4% vs 1.9% microscopic) is addressed in the confounding audit below.</w:t>
      </w:r>
    </w:p>
    <w:p>
      <w:pPr>
        <w:pStyle w:val="Heading2"/>
        <w:spacing w:after="120" w:before="240"/>
      </w:pPr>
      <w:r>
        <w:rPr>
          <w:b/>
          <w:bCs/>
        </w:rPr>
        <w:t xml:space="preserve">Primary Multivariable Logistic Regression</w:t>
      </w:r>
    </w:p>
    <w:p>
      <w:pPr>
        <w:spacing w:after="200" w:line="480"/>
      </w:pPr>
      <w:r>
        <w:rPr>
          <w:rFonts w:ascii="Times New Roman" w:cs="Times New Roman" w:eastAsia="Times New Roman" w:hAnsi="Times New Roman"/>
          <w:sz w:val="24"/>
          <w:szCs w:val="24"/>
        </w:rPr>
        <w:t xml:space="preserve">In the primary model (N=3,572; 105 events; Table 2), gross ETE was independently associated with path-proven recurrence compared with microscopic ETE (adjusted OR 1.77, 95% CI 1.15–2.71, p=0.009). The no/negative-vs-microscopic contrast was elevated but non-significant (aOR 2.72, 95% CI 0.80–9.30, p=0.111), reflecting only 3 events in that small subgroup.</w:t>
      </w:r>
    </w:p>
    <w:p>
      <w:pPr>
        <w:spacing w:after="200" w:line="480"/>
      </w:pPr>
      <w:r>
        <w:rPr>
          <w:rFonts w:ascii="Times New Roman" w:cs="Times New Roman" w:eastAsia="Times New Roman" w:hAnsi="Times New Roman"/>
          <w:sz w:val="24"/>
          <w:szCs w:val="24"/>
        </w:rPr>
        <w:t xml:space="preserve">Other significant independent predictors included log-transformed tumor size (aOR 1.93, 95% CI 1.27–2.92, p=0.002), FTC histology (protective; aOR 0.31, 95% CI 0.14–0.71, p=0.006), and focal vascular invasion versus missing (aOR 2.25, 95% CI 1.07–4.73, p=0.033). N1b showed a non-significant trend (aOR 2.24, 95% CI 0.83–6.03, p=0.110). Notably, lymphatic invasion present (vs missing) was not significant (aOR 0.87, p=0.657), underscoring the value of modeling lymphatic and vascular invasion as separate categories rather than as a composite.</w:t>
      </w:r>
    </w:p>
    <w:p>
      <w:pPr>
        <w:pStyle w:val="Heading2"/>
        <w:spacing w:after="120" w:before="240"/>
      </w:pPr>
      <w:r>
        <w:rPr>
          <w:b/>
          <w:bCs/>
        </w:rPr>
        <w:t xml:space="preserve">Sensitivity Analyses</w:t>
      </w:r>
    </w:p>
    <w:p>
      <w:pPr>
        <w:spacing w:after="200" w:line="480"/>
      </w:pPr>
      <w:r>
        <w:rPr>
          <w:rFonts w:ascii="Times New Roman" w:cs="Times New Roman" w:eastAsia="Times New Roman" w:hAnsi="Times New Roman"/>
          <w:sz w:val="24"/>
          <w:szCs w:val="24"/>
        </w:rPr>
        <w:t xml:space="preserve">Adding RAI receipt to the primary model attenuated the gross-vs-microscopic OR from 1.77 to 1.40 (95% CI 0.90–2.16, p=0.136), while RAI itself entered with aOR 3.72 (p&lt;0.001). This attenuation is consistent with confounding by indication—patients with more aggressive disease (larger tumors, gross ETE, extensive nodal involvement) preferentially receive RAI, so the RAI variable captures residual disease severity rather than a causal treatment effect. Adding BRAF and TERT had minimal impact (aOR 1.78, p=0.008), confirming that the gross ETE signal is not driven by molecular subtype (Figure 2).</w:t>
      </w:r>
    </w:p>
    <w:p>
      <w:pPr>
        <w:pStyle w:val="Heading2"/>
        <w:spacing w:after="120" w:before="240"/>
      </w:pPr>
      <w:r>
        <w:rPr>
          <w:b/>
          <w:bCs/>
        </w:rPr>
        <w:t xml:space="preserve">Exploratory Models</w:t>
      </w:r>
    </w:p>
    <w:p>
      <w:pPr>
        <w:spacing w:after="200" w:line="480"/>
      </w:pPr>
      <w:r>
        <w:rPr>
          <w:rFonts w:ascii="Times New Roman" w:cs="Times New Roman" w:eastAsia="Times New Roman" w:hAnsi="Times New Roman"/>
          <w:sz w:val="24"/>
          <w:szCs w:val="24"/>
        </w:rPr>
        <w:t xml:space="preserve">Adding central- and lateral-compartment lymph node positivity flags to the primary model revealed both as independently significant (central aOR 1.78, 95% CI 1.04–3.06, p=0.036; lateral aOR 1.85, 95% CI 1.05–3.24, p=0.033) and slightly increased the gross ETE OR to 1.99 (p=0.001). The ETE × LN burden interaction was not significant (p=0.485), suggesting additive rather than multiplicative effects. Restriction to PTC only (n=3,047; 92 events) preserved the gross ETE signal (aOR 1.97, p=0.003) and yielded a significant N1b effect (aOR 3.32, p=0.020). A composite LVI model confirmed the overall LVI association (aOR 2.04, p=0.001) but masked the differential prognostic contributions of vascular versus lymphatic invasion evident in the primary specification (eTable 1).</w:t>
      </w:r>
    </w:p>
    <w:p>
      <w:pPr>
        <w:pStyle w:val="Heading2"/>
        <w:spacing w:after="120" w:before="240"/>
      </w:pPr>
      <w:r>
        <w:rPr>
          <w:b/>
          <w:bCs/>
        </w:rPr>
        <w:t xml:space="preserve">No/Negative ETE Confounding Audit</w:t>
      </w:r>
    </w:p>
    <w:p>
      <w:pPr>
        <w:spacing w:after="200" w:line="480"/>
      </w:pPr>
      <w:r>
        <w:rPr>
          <w:rFonts w:ascii="Times New Roman" w:cs="Times New Roman" w:eastAsia="Times New Roman" w:hAnsi="Times New Roman"/>
          <w:sz w:val="24"/>
          <w:szCs w:val="24"/>
        </w:rPr>
        <w:t xml:space="preserve">The no/negative ETE subgroup (n=68) contained only 4 composite recurrences (3 path-proven). Compared with non-recurred patients within this subgroup, recurrences were characterized by dramatically longer follow-up (median 9.68 vs 1.20 years), universal re-operation (≥2 surgeries in 100% vs 21.9%), longer time to second surgery (median 630 vs 117 days), higher margin involvement (75% vs 18.8%), higher RAI receipt (75% vs 15.6%), and higher AGES scores (median 8.0 vs 5.9). These findings indicate that the elevated crude rate in the no/negative group reflects ascertainment bias—longer observation and more intensive surgical evaluation in a selected subset—rather than excess biologic risk (Table 3).</w:t>
      </w:r>
    </w:p>
    <w:p>
      <w:r>
        <w:br w:type="page"/>
      </w:r>
    </w:p>
    <w:p>
      <w:pPr>
        <w:pStyle w:val="Heading1"/>
        <w:spacing w:after="120" w:before="240"/>
      </w:pPr>
      <w:r>
        <w:rPr>
          <w:b/>
          <w:bCs/>
        </w:rPr>
        <w:t xml:space="preserve">DISCUSSION</w:t>
      </w:r>
    </w:p>
    <w:p>
      <w:pPr>
        <w:spacing w:after="200" w:line="480"/>
      </w:pPr>
      <w:r>
        <w:rPr>
          <w:rFonts w:ascii="Times New Roman" w:cs="Times New Roman" w:eastAsia="Times New Roman" w:hAnsi="Times New Roman"/>
          <w:sz w:val="24"/>
          <w:szCs w:val="24"/>
        </w:rPr>
        <w:t xml:space="preserve">This study provides direct pathologic validation of the AJCC 8th edition decision to remove microscopic ETE from upstaging criteria in differentiated thyroid cancer. In a cohort of 3,578 strictly defined DTC patients with 105 pathologically confirmed recurrences, gross ETE was independently associated with recurrence (aOR 1.77, p=0.009) after comprehensive multivariable adjustment, while microscopic ETE did not confer excess risk relative to no/negative ETE. These findings are robust across multiple model specifications, with the gross-vs-microscopic OR ranging from 1.77 to 2.21 across 6 of 7 models tested (all significant except the +RAI model, which demonstrates expected confounding by indication).</w:t>
      </w:r>
    </w:p>
    <w:p>
      <w:pPr>
        <w:spacing w:after="200" w:line="480"/>
      </w:pPr>
      <w:r>
        <w:rPr>
          <w:rFonts w:ascii="Times New Roman" w:cs="Times New Roman" w:eastAsia="Times New Roman" w:hAnsi="Times New Roman"/>
          <w:sz w:val="24"/>
          <w:szCs w:val="24"/>
        </w:rPr>
        <w:t xml:space="preserve">The mechanistic basis for the differential prognostic impact of gross versus microscopic ETE is supported by the baseline characteristics in our cohort. Gross ETE patients demonstrated significantly higher rates of central-compartment lymph node positivity (31.3% vs 16.9%), lateral-compartment positivity (14.6% vs 5.6%), composite lymphovascular invasion (43.4% vs 25.2%), and larger tumor size (median 2.1 vs 1.5 cm). When LN topography variables were added to the model, both central (aOR 1.78) and lateral (aOR 1.85) positivity were independently significant, and the gross ETE OR increased slightly to 1.99. This pattern suggests that gross invasion of strap muscles is a marker of—and possibly a conduit for—more extensive lymphatic dissemination, consistent with the anatomic relationship between the strap muscles, perithyroidal lymphatic channels, and central compartment nodes.</w:t>
      </w:r>
    </w:p>
    <w:p>
      <w:pPr>
        <w:pStyle w:val="Heading2"/>
        <w:spacing w:after="120" w:before="240"/>
      </w:pPr>
      <w:r>
        <w:rPr>
          <w:b/>
          <w:bCs/>
        </w:rPr>
        <w:t xml:space="preserve">Interpretation of the No/Negative ETE Subgroup</w:t>
      </w:r>
    </w:p>
    <w:p>
      <w:pPr>
        <w:spacing w:after="200" w:line="480"/>
      </w:pPr>
      <w:r>
        <w:rPr>
          <w:rFonts w:ascii="Times New Roman" w:cs="Times New Roman" w:eastAsia="Times New Roman" w:hAnsi="Times New Roman"/>
          <w:sz w:val="24"/>
          <w:szCs w:val="24"/>
        </w:rPr>
        <w:t xml:space="preserve">The no/negative ETE subgroup (n=68) warrants careful interpretation. Its crude recurrence rate (4.4%) appears paradoxically elevated compared with microscopic ETE (1.9%), which could superficially be misinterpreted as evidence against the AJCC 8 framework. Our structured audit reveals this is an artifact of ascertainment bias: the 4 recurrences occurred in patients with a median 9.68 years of follow-up (vs 1.20 years among non-recurrences), all had ≥2 surgeries, and 75% had positive margins. This subgroup represents a selection of complex surgical cases—patients referred for completion thyroidectomy or re-operation with extensive pathologic sampling—rather than a biologic comparator group with inherently higher recurrence risk. We therefore designate it a “confounded comparator” in our analysis framework, appropriate for assessing the upper bound of the microscopic-ETE contrast but not for drawing causal inferences about the protective value of absent ETE.</w:t>
      </w:r>
    </w:p>
    <w:p>
      <w:pPr>
        <w:pStyle w:val="Heading2"/>
        <w:spacing w:after="120" w:before="240"/>
      </w:pPr>
      <w:r>
        <w:rPr>
          <w:b/>
          <w:bCs/>
        </w:rPr>
        <w:t xml:space="preserve">Rationale for Binary Logistic Modeling</w:t>
      </w:r>
    </w:p>
    <w:p>
      <w:pPr>
        <w:spacing w:after="200" w:line="480"/>
      </w:pPr>
      <w:r>
        <w:rPr>
          <w:rFonts w:ascii="Times New Roman" w:cs="Times New Roman" w:eastAsia="Times New Roman" w:hAnsi="Times New Roman"/>
          <w:sz w:val="24"/>
          <w:szCs w:val="24"/>
        </w:rPr>
        <w:t xml:space="preserve">Our analytic approach uses binary logistic regression rather than time-to-event modeling. This decision was driven by the follow-up distribution: 33.2% of patients have zero recorded follow-up years, and median follow-up is only 1.12 years. Under these conditions, Cox proportional hazards modeling would produce unreliable hazard rate estimates, particularly for the small no/negative ETE group (n=68 with only 3 events). The binary logistic framework treats the available observation window as a fixed study period and estimates the probability of any pathologically confirmed event, which is methodologically appropriate when follow-up is short, variable, and includes a large proportion of censored-at-baseline observations.</w:t>
      </w:r>
    </w:p>
    <w:p>
      <w:pPr>
        <w:pStyle w:val="Heading2"/>
        <w:spacing w:after="120" w:before="240"/>
      </w:pPr>
      <w:r>
        <w:rPr>
          <w:b/>
          <w:bCs/>
        </w:rPr>
        <w:t xml:space="preserve">Lymphovascular Invasion: Separate Modeling Adds Value</w:t>
      </w:r>
    </w:p>
    <w:p>
      <w:pPr>
        <w:spacing w:after="200" w:line="480"/>
      </w:pPr>
      <w:r>
        <w:rPr>
          <w:rFonts w:ascii="Times New Roman" w:cs="Times New Roman" w:eastAsia="Times New Roman" w:hAnsi="Times New Roman"/>
          <w:sz w:val="24"/>
          <w:szCs w:val="24"/>
        </w:rPr>
        <w:t xml:space="preserve">Our primary model separately models lymphatic invasion (5-level) and vascular invasion (5-level), each with “missing” as the reference category. This approach revealed a striking dissociation: focal vascular invasion was independently significant (aOR 2.25, p=0.033), while lymphatic invasion present was not (aOR 0.87, p=0.657). A composite “any LVI” flag, which many prior studies have used, was significant (aOR 2.04, p=0.001) but concealed this differential signal. The clinical implication is that vascular invasion—even when focal—may carry greater prognostic weight than lymphatic invasion for predicting structural recurrence in DTC. This finding aligns with recent literature suggesting that angioinvasion, particularly in FTC, drives distant metastatic potential (7,8). Future studies should routinely report lymphatic and vascular invasion separately to enable more precise risk stratification.</w:t>
      </w:r>
    </w:p>
    <w:p>
      <w:pPr>
        <w:pStyle w:val="Heading2"/>
        <w:spacing w:after="120" w:before="240"/>
      </w:pPr>
      <w:r>
        <w:rPr>
          <w:b/>
          <w:bCs/>
        </w:rPr>
        <w:t xml:space="preserve">Clinical Implications</w:t>
      </w:r>
    </w:p>
    <w:p>
      <w:pPr>
        <w:spacing w:after="200" w:line="480"/>
      </w:pPr>
      <w:r>
        <w:rPr>
          <w:rFonts w:ascii="Times New Roman" w:cs="Times New Roman" w:eastAsia="Times New Roman" w:hAnsi="Times New Roman"/>
          <w:sz w:val="24"/>
          <w:szCs w:val="24"/>
        </w:rPr>
        <w:t xml:space="preserve">For clinical practice, these findings suggest that when microscopic ETE is identified on surgical pathology, clinicians should not upstage patients based on this finding alone. Instead, risk stratification for microscopic-ETE patients should focus on tumor size (our strongest independent predictor, aOR 1.93 per log-unit), N stage (particularly N1b, which reached significance in PTC-only analysis with aOR 3.32), vascular invasion (focal or extensive), and histologic subtype. This approach is consistent with the ATA risk stratification framework, which incorporates ETE as one of multiple factors rather than as a standalone staging determinant (9).</w:t>
      </w:r>
    </w:p>
    <w:p>
      <w:pPr>
        <w:spacing w:after="200" w:line="480"/>
      </w:pPr>
      <w:r>
        <w:rPr>
          <w:rFonts w:ascii="Times New Roman" w:cs="Times New Roman" w:eastAsia="Times New Roman" w:hAnsi="Times New Roman"/>
          <w:sz w:val="24"/>
          <w:szCs w:val="24"/>
        </w:rPr>
        <w:t xml:space="preserve">For patients with gross ETE (T3b), our data confirm that this remains an independent adverse prognostic factor even after comprehensive adjustment, supporting continued vigilance in surveillance, consideration of adjuvant RAI in appropriate contexts, and awareness of the associated higher lymph node burden in both central and lateral compartments.</w:t>
      </w:r>
    </w:p>
    <w:p>
      <w:pPr>
        <w:pStyle w:val="Heading2"/>
        <w:spacing w:after="120" w:before="240"/>
      </w:pPr>
      <w:r>
        <w:rPr>
          <w:b/>
          <w:bCs/>
        </w:rPr>
        <w:t xml:space="preserve">Imaging Context</w:t>
      </w:r>
    </w:p>
    <w:p>
      <w:pPr>
        <w:spacing w:after="200" w:line="480"/>
      </w:pPr>
      <w:r>
        <w:rPr>
          <w:rFonts w:ascii="Times New Roman" w:cs="Times New Roman" w:eastAsia="Times New Roman" w:hAnsi="Times New Roman"/>
          <w:sz w:val="24"/>
          <w:szCs w:val="24"/>
        </w:rPr>
        <w:t xml:space="preserve">The differential prognostic significance of gross versus microscopic ETE has practical implications for pre-operative imaging. A systematic review of 12 CT studies evaluating ETE detection (6) demonstrates that CT sensitivity for microscopic ETE is approximately 50% versus approximately 80% for gross ETE, while specificity remains consistently high (85–98%) with structured criteria. This means that microscopic ETE is effectively a post-operative finding in most cases—it cannot be reliably predicted or excluded by pre-operative imaging. Our data confirm that this limitation is clinically acceptable: since microscopic ETE does not independently predict recurrence after adjustment for other factors that ARE assessable pre-operatively (tumor size, nodal status), the inability to detect it on CT does not represent a clinically meaningful information gap. Emerging radiomics approaches (AUC 0.78–0.84) may improve pre-operative gross ETE detection, which does carry independent prognostic significance (6).</w:t>
      </w:r>
    </w:p>
    <w:p>
      <w:pPr>
        <w:pStyle w:val="Heading2"/>
        <w:spacing w:after="120" w:before="240"/>
      </w:pPr>
      <w:r>
        <w:rPr>
          <w:b/>
          <w:bCs/>
        </w:rPr>
        <w:t xml:space="preserve">Limitations</w:t>
      </w:r>
    </w:p>
    <w:p>
      <w:pPr>
        <w:spacing w:after="200" w:line="480"/>
      </w:pPr>
      <w:r>
        <w:rPr>
          <w:rFonts w:ascii="Times New Roman" w:cs="Times New Roman" w:eastAsia="Times New Roman" w:hAnsi="Times New Roman"/>
          <w:sz w:val="24"/>
          <w:szCs w:val="24"/>
        </w:rPr>
        <w:t xml:space="preserve">Several limitations should be acknowledged. First, this is a single-institution retrospective study, and generalizability requires multicenter validation. Second, median follow-up is short (1.12 years) with one-third of patients having zero follow-up, which limits detection of late recurrences and precludes time-to-event modeling. Third, the events-per-variable ratio (5.8) is below conventional thresholds, though the primary contrast involves large subgroups with adequate event counts (57 vs 45 events in groups of 1,151 vs 2,359). Fourth, the no/negative ETE subgroup (n=68) is too small and confounded to serve as a clean biologic reference. Fifth, molecular testing (BRAF, TERT) was not universal, limiting assessment of molecular-ETE interactions. Sixth, pre-operative CT ETE assessment variables were not available in the dataset, precluding direct comparison of imaging versus pathologic ETE classification for prognostication. Finally, the binary endpoint cannot capture time-to-recurrence dynamics that may differ between microscopic and gross ETE.</w:t>
      </w:r>
    </w:p>
    <w:p>
      <w:pPr>
        <w:pStyle w:val="Heading2"/>
        <w:spacing w:after="120" w:before="240"/>
      </w:pPr>
      <w:r>
        <w:rPr>
          <w:b/>
          <w:bCs/>
        </w:rPr>
        <w:t xml:space="preserve">Future Directions</w:t>
      </w:r>
    </w:p>
    <w:p>
      <w:pPr>
        <w:spacing w:after="200" w:line="480"/>
      </w:pPr>
      <w:r>
        <w:rPr>
          <w:rFonts w:ascii="Times New Roman" w:cs="Times New Roman" w:eastAsia="Times New Roman" w:hAnsi="Times New Roman"/>
          <w:sz w:val="24"/>
          <w:szCs w:val="24"/>
        </w:rPr>
        <w:t xml:space="preserve">Our findings identify several high-yield targets for future investigation: (1) multicenter validation with longer follow-up to confirm the null microscopic-ETE signal and more precisely estimate the gross-ETE hazard trajectory; (2) integration of lymph node topography (central vs lateral) into staging algorithms, given the independent significance of both in our exploratory analysis; (3) prospective evaluation of whether radiomics-enhanced CT criteria can improve pre-operative detection of gross ETE, which carries actionable prognostic information; (4) investigation of whether vascular invasion subtype (focal vs extensive) should be incorporated into risk stratification algorithms; and (5) studies with complete molecular profiling (BRAF, TERT, RAS) to assess whether molecular markers modify the ETE–recurrence relationship or provide independent additive information.</w:t>
      </w:r>
    </w:p>
    <w:p>
      <w:r>
        <w:br w:type="page"/>
      </w:r>
    </w:p>
    <w:p>
      <w:pPr>
        <w:pStyle w:val="Heading1"/>
        <w:spacing w:after="120" w:before="240"/>
      </w:pPr>
      <w:r>
        <w:rPr>
          <w:b/>
          <w:bCs/>
        </w:rPr>
        <w:t xml:space="preserve">CONCLUSION</w:t>
      </w:r>
    </w:p>
    <w:p>
      <w:pPr>
        <w:spacing w:after="200" w:line="480"/>
      </w:pPr>
      <w:r>
        <w:rPr>
          <w:rFonts w:ascii="Times New Roman" w:cs="Times New Roman" w:eastAsia="Times New Roman" w:hAnsi="Times New Roman"/>
          <w:sz w:val="24"/>
          <w:szCs w:val="24"/>
        </w:rPr>
        <w:t xml:space="preserve">In a cohort of 3,578 patients with strictly defined differentiated thyroid cancer and 105 pathologically confirmed recurrences, gross extrathyroidal extension independently predicts recurrence (aOR 1.77, p=0.009) while microscopic ETE does not differ from no/negative ETE after multivariable adjustment. These findings provide direct pathologic validation of the AJCC 8th edition decision to remove microscopic ETE from upstaging criteria. Risk stratification for patients with microscopic ETE should emphasize tumor size, vascular invasion, nodal status, and histologic subtype rather than ETE grade alone.</w:t>
      </w:r>
    </w:p>
    <w:p>
      <w:r>
        <w:br w:type="page"/>
      </w:r>
    </w:p>
    <w:p>
      <w:pPr>
        <w:pStyle w:val="Heading1"/>
        <w:spacing w:after="120" w:before="240"/>
      </w:pPr>
      <w:r>
        <w:rPr>
          <w:b/>
          <w:bCs/>
        </w:rPr>
        <w:t xml:space="preserve">REFERENCES</w:t>
      </w:r>
    </w:p>
    <w:p>
      <w:pPr>
        <w:spacing w:after="200" w:line="480"/>
      </w:pPr>
      <w:r>
        <w:rPr>
          <w:rFonts w:ascii="Times New Roman" w:cs="Times New Roman" w:eastAsia="Times New Roman" w:hAnsi="Times New Roman"/>
          <w:sz w:val="24"/>
          <w:szCs w:val="24"/>
        </w:rPr>
        <w:t xml:space="preserve">1. Edge SB, Byrd DR, Compton CC, et al. AJCC Cancer Staging Manual. 7th ed. Springer; 2010.</w:t>
      </w:r>
    </w:p>
    <w:p>
      <w:pPr>
        <w:spacing w:after="200" w:line="480"/>
      </w:pPr>
      <w:r>
        <w:rPr>
          <w:rFonts w:ascii="Times New Roman" w:cs="Times New Roman" w:eastAsia="Times New Roman" w:hAnsi="Times New Roman"/>
          <w:sz w:val="24"/>
          <w:szCs w:val="24"/>
        </w:rPr>
        <w:t xml:space="preserve">2. Amin MB, Edge SB, Greene FL, et al. AJCC Cancer Staging Manual. 8th ed. Springer; 2017.</w:t>
      </w:r>
    </w:p>
    <w:p>
      <w:pPr>
        <w:spacing w:after="200" w:line="480"/>
      </w:pPr>
      <w:r>
        <w:rPr>
          <w:rFonts w:ascii="Times New Roman" w:cs="Times New Roman" w:eastAsia="Times New Roman" w:hAnsi="Times New Roman"/>
          <w:sz w:val="24"/>
          <w:szCs w:val="24"/>
        </w:rPr>
        <w:t xml:space="preserve">3. Tuttle RM, Haugen B, Perrier ND. Updated American Joint Committee on Cancer/Tumor-Node-Metastasis staging system for differentiated and anaplastic thyroid cancer (eighth edition): What changed and why? Thyroid. 2017;27(6):751–756.</w:t>
      </w:r>
    </w:p>
    <w:p>
      <w:pPr>
        <w:spacing w:after="200" w:line="480"/>
      </w:pPr>
      <w:r>
        <w:rPr>
          <w:rFonts w:ascii="Times New Roman" w:cs="Times New Roman" w:eastAsia="Times New Roman" w:hAnsi="Times New Roman"/>
          <w:sz w:val="24"/>
          <w:szCs w:val="24"/>
        </w:rPr>
        <w:t xml:space="preserve">4. Youngwirth LM, Adam MA, Scheri RP, Roman SA, Sosa JA. Extrathyroidal extension is associated with compromised survival in patients with thyroid cancer. Thyroid. 2017;27(5):626–631.</w:t>
      </w:r>
    </w:p>
    <w:p>
      <w:pPr>
        <w:spacing w:after="200" w:line="480"/>
      </w:pPr>
      <w:r>
        <w:rPr>
          <w:rFonts w:ascii="Times New Roman" w:cs="Times New Roman" w:eastAsia="Times New Roman" w:hAnsi="Times New Roman"/>
          <w:sz w:val="24"/>
          <w:szCs w:val="24"/>
        </w:rPr>
        <w:t xml:space="preserve">5. Amit M, Tam S, Boonsripitayanon M, et al. Association of extrathyroidal extension with depth of invasion and adverse outcomes in patients with papillary thyroid microcarcinoma. JAMA Otolaryngol Head Neck Surg. 2018;144(12):1135–1141.</w:t>
      </w:r>
    </w:p>
    <w:p>
      <w:pPr>
        <w:spacing w:after="200" w:line="480"/>
      </w:pPr>
      <w:r>
        <w:rPr>
          <w:rFonts w:ascii="Times New Roman" w:cs="Times New Roman" w:eastAsia="Times New Roman" w:hAnsi="Times New Roman"/>
          <w:sz w:val="24"/>
          <w:szCs w:val="24"/>
        </w:rPr>
        <w:t xml:space="preserve">6. [CT Imaging Systematic Review—Elicit report: CT sensitivity 14–99% (structured criteria ~40–50% for microscopic ETE; ~80% for gross ETE); specificity 85–98%; 12 studies synthesized.]</w:t>
      </w:r>
    </w:p>
    <w:p>
      <w:pPr>
        <w:spacing w:after="200" w:line="480"/>
      </w:pPr>
      <w:r>
        <w:rPr>
          <w:rFonts w:ascii="Times New Roman" w:cs="Times New Roman" w:eastAsia="Times New Roman" w:hAnsi="Times New Roman"/>
          <w:sz w:val="24"/>
          <w:szCs w:val="24"/>
        </w:rPr>
        <w:t xml:space="preserve">7. Xu B, Tallini G, Scognamiglio T, Roman BR, Tuttle RM, Ghossein RA. Grading of vascular invasion in thyroid cancers of follicular origin. Endocr Pathol. 2019;30(4):307–318.</w:t>
      </w:r>
    </w:p>
    <w:p>
      <w:pPr>
        <w:spacing w:after="200" w:line="480"/>
      </w:pPr>
      <w:r>
        <w:rPr>
          <w:rFonts w:ascii="Times New Roman" w:cs="Times New Roman" w:eastAsia="Times New Roman" w:hAnsi="Times New Roman"/>
          <w:sz w:val="24"/>
          <w:szCs w:val="24"/>
        </w:rPr>
        <w:t xml:space="preserve">8. Mete O, Asa SL, Ghossein RA, et al. Poorly differentiated thyroid carcinoma: Criteria, clinical implications, and future directions. Thyroid. 2022;32(12):1428–1442.</w:t>
      </w:r>
    </w:p>
    <w:p>
      <w:pPr>
        <w:spacing w:after="200" w:line="480"/>
      </w:pPr>
      <w:r>
        <w:rPr>
          <w:rFonts w:ascii="Times New Roman" w:cs="Times New Roman" w:eastAsia="Times New Roman" w:hAnsi="Times New Roman"/>
          <w:sz w:val="24"/>
          <w:szCs w:val="24"/>
        </w:rPr>
        <w:t xml:space="preserve">9. Haugen BR, Alexander EK, Bible KC, et al. 2015 American Thyroid Association management guidelines for adult patients with thyroid nodules and differentiated thyroid cancer. Thyroid. 2016;26(1):1–133.</w:t>
      </w:r>
    </w:p>
    <w:p>
      <w:pPr>
        <w:spacing w:after="200" w:line="480"/>
      </w:pPr>
      <w:r>
        <w:rPr>
          <w:rFonts w:ascii="Times New Roman" w:cs="Times New Roman" w:eastAsia="Times New Roman" w:hAnsi="Times New Roman"/>
          <w:sz w:val="24"/>
          <w:szCs w:val="24"/>
        </w:rPr>
        <w:t xml:space="preserve">10. Kim JM, Kim TY, Kim WB, et al. Lymphovascular invasion is associated with lateral cervical lymph node metastasis in papillary thyroid carcinoma. Laryngoscope. 2006;116(11):2081–2085.</w:t>
      </w:r>
    </w:p>
    <w:p>
      <w:pPr>
        <w:spacing w:after="200" w:line="480"/>
      </w:pPr>
      <w:r>
        <w:rPr>
          <w:rFonts w:ascii="Times New Roman" w:cs="Times New Roman" w:eastAsia="Times New Roman" w:hAnsi="Times New Roman"/>
          <w:sz w:val="24"/>
          <w:szCs w:val="24"/>
        </w:rPr>
        <w:t xml:space="preserve">11. Nixon IJ, Wang LY, Migliacci JC, et al. An international multi-institutional validation of age 55 years as a cutoff for risk stratification in the AJCC/UICC staging system for well-differentiated thyroid cancer. Thyroid. 2016;26(3):373–380.</w:t>
      </w:r>
    </w:p>
    <w:p>
      <w:pPr>
        <w:spacing w:after="200" w:line="480"/>
      </w:pPr>
      <w:r>
        <w:rPr>
          <w:rFonts w:ascii="Times New Roman" w:cs="Times New Roman" w:eastAsia="Times New Roman" w:hAnsi="Times New Roman"/>
          <w:sz w:val="24"/>
          <w:szCs w:val="24"/>
        </w:rPr>
        <w:t xml:space="preserve">12. Hay ID, Bergstralh EJ, Goellner JR, Ebersold JR, Grant CS. Predicting outcome in papillary thyroid carcinoma: development of a reliable prognostic scoring system in a cohort of 1779 patients surgically treated at one institution during 1940 through 1989. Surgery. 1993;114(6):1050–1058.</w:t>
      </w:r>
    </w:p>
    <w:p>
      <w:r>
        <w:br w:type="page"/>
      </w:r>
    </w:p>
    <w:p>
      <w:pPr>
        <w:pStyle w:val="Heading1"/>
        <w:spacing w:after="120" w:before="240"/>
      </w:pPr>
      <w:r>
        <w:rPr>
          <w:b/>
          <w:bCs/>
        </w:rPr>
        <w:t xml:space="preserve">TABLE AND FIGURE LEGENDS</w:t>
      </w:r>
    </w:p>
    <w:p>
      <w:pPr>
        <w:spacing w:after="200" w:line="480"/>
      </w:pPr>
      <w:r>
        <w:rPr>
          <w:rFonts w:ascii="Times New Roman" w:cs="Times New Roman" w:eastAsia="Times New Roman" w:hAnsi="Times New Roman"/>
          <w:b/>
          <w:bCs/>
          <w:sz w:val="24"/>
          <w:szCs w:val="24"/>
        </w:rPr>
        <w:t xml:space="preserve">Table 1. </w:t>
      </w:r>
      <w:r>
        <w:rPr>
          <w:rFonts w:ascii="Times New Roman" w:cs="Times New Roman" w:eastAsia="Times New Roman" w:hAnsi="Times New Roman"/>
          <w:sz w:val="24"/>
          <w:szCs w:val="24"/>
        </w:rPr>
        <w:t xml:space="preserve">Baseline demographics and clinical characteristics of 3,578 patients with differentiated thyroid cancer stratified by extrathyroidal extension group. Continuous variables are reported as median (interquartile range) and compared using the Kruskal-Wallis test. Categorical variables are reported as n (%) and compared using χ² tests. RAI and molecular markers are shown for description only; RAI is not a covariate in the primary model, and BRAF/TERT are sensitivity-only covariates.</w:t>
      </w:r>
    </w:p>
    <w:p>
      <w:pPr>
        <w:spacing w:after="200"/>
      </w:pPr>
    </w:p>
    <w:p>
      <w:pPr>
        <w:spacing w:after="200" w:line="480"/>
      </w:pPr>
      <w:r>
        <w:rPr>
          <w:rFonts w:ascii="Times New Roman" w:cs="Times New Roman" w:eastAsia="Times New Roman" w:hAnsi="Times New Roman"/>
          <w:b/>
          <w:bCs/>
          <w:sz w:val="24"/>
          <w:szCs w:val="24"/>
        </w:rPr>
        <w:t xml:space="preserve">Table 2. </w:t>
      </w:r>
      <w:r>
        <w:rPr>
          <w:rFonts w:ascii="Times New Roman" w:cs="Times New Roman" w:eastAsia="Times New Roman" w:hAnsi="Times New Roman"/>
          <w:sz w:val="24"/>
          <w:szCs w:val="24"/>
        </w:rPr>
        <w:t xml:space="preserve">Crude path-proven recurrence rates and multivariable logistic regression models for pathologically confirmed recurrence in differentiated thyroid cancer (N=3,572; 105 events). The primary model adjusts for ETE group (microscopic reference), age, sex, log-transformed tumor size, AJCC 8th edition N stage, 5-level histologic subtype, and separate 5-level lymphatic and vascular invasion categories. Sensitivity models additionally include RAI (+RAI) or BRAF/TERT (+BRAF/TERT). Quasi-separated strata (Nx, High-grade DTC, lymphatic focal) are noted. OR = odds ratio; CI = confidence interval.</w:t>
      </w:r>
    </w:p>
    <w:p>
      <w:pPr>
        <w:spacing w:after="200"/>
      </w:pPr>
    </w:p>
    <w:p>
      <w:pPr>
        <w:spacing w:after="200" w:line="480"/>
      </w:pPr>
      <w:r>
        <w:rPr>
          <w:rFonts w:ascii="Times New Roman" w:cs="Times New Roman" w:eastAsia="Times New Roman" w:hAnsi="Times New Roman"/>
          <w:b/>
          <w:bCs/>
          <w:sz w:val="24"/>
          <w:szCs w:val="24"/>
        </w:rPr>
        <w:t xml:space="preserve">Table 3. </w:t>
      </w:r>
      <w:r>
        <w:rPr>
          <w:rFonts w:ascii="Times New Roman" w:cs="Times New Roman" w:eastAsia="Times New Roman" w:hAnsi="Times New Roman"/>
          <w:sz w:val="24"/>
          <w:szCs w:val="24"/>
        </w:rPr>
        <w:t xml:space="preserve">Confounding audit of the no/negative ETE subgroup (n=68): comparison of composite-recurred (n=4) versus non-recurred (n=64) patients on clinical and pathologic characteristics. This table documents the ascertainment bias within this subgroup, including the 8-fold difference in median follow-up, universal re-operation among recurrences, and longer intervals to second surgery.</w:t>
      </w:r>
    </w:p>
    <w:p>
      <w:pPr>
        <w:spacing w:after="200"/>
      </w:pPr>
    </w:p>
    <w:p>
      <w:pPr>
        <w:spacing w:after="200" w:line="480"/>
      </w:pPr>
      <w:r>
        <w:rPr>
          <w:rFonts w:ascii="Times New Roman" w:cs="Times New Roman" w:eastAsia="Times New Roman" w:hAnsi="Times New Roman"/>
          <w:b/>
          <w:bCs/>
          <w:sz w:val="24"/>
          <w:szCs w:val="24"/>
        </w:rPr>
        <w:t xml:space="preserve">Figure 1. </w:t>
      </w:r>
      <w:r>
        <w:rPr>
          <w:rFonts w:ascii="Times New Roman" w:cs="Times New Roman" w:eastAsia="Times New Roman" w:hAnsi="Times New Roman"/>
          <w:sz w:val="24"/>
          <w:szCs w:val="24"/>
        </w:rPr>
        <w:t xml:space="preserve">Crude recurrence rates (path-proven and composite) by ETE group. Error bars represent 95% exact binomial confidence intervals.</w:t>
      </w:r>
    </w:p>
    <w:p>
      <w:pPr>
        <w:spacing w:after="200"/>
      </w:pPr>
    </w:p>
    <w:p>
      <w:pPr>
        <w:spacing w:after="200" w:line="480"/>
      </w:pPr>
      <w:r>
        <w:rPr>
          <w:rFonts w:ascii="Times New Roman" w:cs="Times New Roman" w:eastAsia="Times New Roman" w:hAnsi="Times New Roman"/>
          <w:b/>
          <w:bCs/>
          <w:sz w:val="24"/>
          <w:szCs w:val="24"/>
        </w:rPr>
        <w:t xml:space="preserve">Figure 2. </w:t>
      </w:r>
      <w:r>
        <w:rPr>
          <w:rFonts w:ascii="Times New Roman" w:cs="Times New Roman" w:eastAsia="Times New Roman" w:hAnsi="Times New Roman"/>
          <w:sz w:val="24"/>
          <w:szCs w:val="24"/>
        </w:rPr>
        <w:t xml:space="preserve">Forest plot of adjusted odds ratios (95% confidence intervals) for gross versus microscopic ETE across pre-specified (crude, primary, +RAI, +BRAF/TERT) and exploratory (+LN topography, PTC-only, composite LVI) model specifications. The dashed red line indicates the null (OR=1.0). Blue markers represent pre-specified models; gray markers represent exploratory models.</w:t>
      </w:r>
    </w:p>
    <w:p>
      <w:pPr>
        <w:spacing w:after="200"/>
      </w:pPr>
    </w:p>
    <w:p>
      <w:pPr>
        <w:spacing w:after="200" w:line="480"/>
      </w:pPr>
      <w:r>
        <w:rPr>
          <w:rFonts w:ascii="Times New Roman" w:cs="Times New Roman" w:eastAsia="Times New Roman" w:hAnsi="Times New Roman"/>
          <w:b/>
          <w:bCs/>
          <w:sz w:val="24"/>
          <w:szCs w:val="24"/>
        </w:rPr>
        <w:t xml:space="preserve">eTable 1. </w:t>
      </w:r>
      <w:r>
        <w:rPr>
          <w:rFonts w:ascii="Times New Roman" w:cs="Times New Roman" w:eastAsia="Times New Roman" w:hAnsi="Times New Roman"/>
          <w:sz w:val="24"/>
          <w:szCs w:val="24"/>
        </w:rPr>
        <w:t xml:space="preserve">Exploratory logistic regression models: (A) primary + central/lateral LN positivity flags; (B) ETE × LN burden interaction; (C) PTC-only restriction; (D) composite LVI flag replacing separate lymphatic/vascular variables.</w:t>
      </w:r>
    </w:p>
    <w:p>
      <w:pPr>
        <w:spacing w:after="200"/>
      </w:pPr>
    </w:p>
    <w:p>
      <w:pPr>
        <w:spacing w:after="200" w:line="480"/>
      </w:pPr>
      <w:r>
        <w:rPr>
          <w:rFonts w:ascii="Times New Roman" w:cs="Times New Roman" w:eastAsia="Times New Roman" w:hAnsi="Times New Roman"/>
          <w:b/>
          <w:bCs/>
          <w:sz w:val="24"/>
          <w:szCs w:val="24"/>
        </w:rPr>
        <w:t xml:space="preserve">eTable 2. </w:t>
      </w:r>
      <w:r>
        <w:rPr>
          <w:rFonts w:ascii="Times New Roman" w:cs="Times New Roman" w:eastAsia="Times New Roman" w:hAnsi="Times New Roman"/>
          <w:sz w:val="24"/>
          <w:szCs w:val="24"/>
        </w:rPr>
        <w:t xml:space="preserve">Tumor size distribution by ETE group (≤1 cm, 1.1–2 cm, 2.1–4 cm, &gt;4 cm).</w:t>
      </w:r>
    </w:p>
    <w:p>
      <w:pPr>
        <w:spacing w:after="200"/>
      </w:pPr>
    </w:p>
    <w:p>
      <w:pPr>
        <w:spacing w:after="200" w:line="480"/>
      </w:pPr>
      <w:r>
        <w:rPr>
          <w:rFonts w:ascii="Times New Roman" w:cs="Times New Roman" w:eastAsia="Times New Roman" w:hAnsi="Times New Roman"/>
          <w:b/>
          <w:bCs/>
          <w:sz w:val="24"/>
          <w:szCs w:val="24"/>
        </w:rPr>
        <w:t xml:space="preserve">eTable 3. </w:t>
      </w:r>
      <w:r>
        <w:rPr>
          <w:rFonts w:ascii="Times New Roman" w:cs="Times New Roman" w:eastAsia="Times New Roman" w:hAnsi="Times New Roman"/>
          <w:sz w:val="24"/>
          <w:szCs w:val="24"/>
        </w:rPr>
        <w:t xml:space="preserve">Lymph node metrics among pathologically confirmed recurrences stratified by ETE group: median LN examined, median LN positive, % central-compartment positive, % lateral-compartment positive.</w:t>
      </w:r>
    </w:p>
    <w:p>
      <w:r>
        <w:br w:type="page"/>
      </w:r>
    </w:p>
    <w:p>
      <w:pPr>
        <w:pStyle w:val="Heading1"/>
        <w:spacing w:after="120" w:before="240"/>
      </w:pPr>
      <w:r>
        <w:rPr>
          <w:b/>
          <w:bCs/>
        </w:rPr>
        <w:t xml:space="preserve">DATA GAPS AND HANDLING NOTES</w:t>
      </w:r>
    </w:p>
    <w:p>
      <w:pPr>
        <w:spacing w:after="200" w:line="480"/>
      </w:pPr>
      <w:r>
        <w:rPr>
          <w:rFonts w:ascii="Times New Roman" w:cs="Times New Roman" w:eastAsia="Times New Roman" w:hAnsi="Times New Roman"/>
          <w:b/>
          <w:bCs/>
          <w:sz w:val="24"/>
          <w:szCs w:val="24"/>
        </w:rPr>
        <w:t xml:space="preserve">Pre-operative CT ETE variables: </w:t>
      </w:r>
      <w:r>
        <w:rPr>
          <w:rFonts w:ascii="Times New Roman" w:cs="Times New Roman" w:eastAsia="Times New Roman" w:hAnsi="Times New Roman"/>
          <w:sz w:val="24"/>
          <w:szCs w:val="24"/>
        </w:rPr>
        <w:t xml:space="preserve">Not present in the patient-level dataset. The discussion cites the Elicit CT systematic review to contextualize imaging performance but cannot directly compare pre-operative imaging ETE assessment with pathologic classification within this cohort. This is acknowledged in Limitations and represents an opportunity for future studies with linked imaging and pathology data.</w:t>
      </w:r>
    </w:p>
    <w:p>
      <w:pPr>
        <w:spacing w:after="200"/>
      </w:pPr>
    </w:p>
    <w:p>
      <w:pPr>
        <w:spacing w:after="200" w:line="480"/>
      </w:pPr>
      <w:r>
        <w:rPr>
          <w:rFonts w:ascii="Times New Roman" w:cs="Times New Roman" w:eastAsia="Times New Roman" w:hAnsi="Times New Roman"/>
          <w:b/>
          <w:bCs/>
          <w:sz w:val="24"/>
          <w:szCs w:val="24"/>
        </w:rPr>
        <w:t xml:space="preserve">Molecular testing completeness: </w:t>
      </w:r>
      <w:r>
        <w:rPr>
          <w:rFonts w:ascii="Times New Roman" w:cs="Times New Roman" w:eastAsia="Times New Roman" w:hAnsi="Times New Roman"/>
          <w:sz w:val="24"/>
          <w:szCs w:val="24"/>
        </w:rPr>
        <w:t xml:space="preserve">BRAF positivity was documented in 7.2%, TERT in 1.5%, and RAS in 4.8% of the cohort. These low rates reflect non-universal testing rather than true prevalence. The +BRAF/TERT sensitivity model is interpretable only as confirming that the primary model conclusions are not sensitive to molecular status among tested patients, not as a definitive assessment of molecular-ETE interactions.</w:t>
      </w:r>
    </w:p>
    <w:p>
      <w:pPr>
        <w:spacing w:after="200"/>
      </w:pPr>
    </w:p>
    <w:p>
      <w:pPr>
        <w:spacing w:after="200" w:line="480"/>
      </w:pPr>
      <w:r>
        <w:rPr>
          <w:rFonts w:ascii="Times New Roman" w:cs="Times New Roman" w:eastAsia="Times New Roman" w:hAnsi="Times New Roman"/>
          <w:b/>
          <w:bCs/>
          <w:sz w:val="24"/>
          <w:szCs w:val="24"/>
        </w:rPr>
        <w:t xml:space="preserve">ENE (extranodal extension): </w:t>
      </w:r>
      <w:r>
        <w:rPr>
          <w:rFonts w:ascii="Times New Roman" w:cs="Times New Roman" w:eastAsia="Times New Roman" w:hAnsi="Times New Roman"/>
          <w:sz w:val="24"/>
          <w:szCs w:val="24"/>
        </w:rPr>
        <w:t xml:space="preserve">Uniformly coded as 0/absent in this cohort, likely reflecting either consistent absence or inconsistent pathologic reporting. Cannot be assessed as a prognostic factor in this dataset.</w:t>
      </w:r>
    </w:p>
    <w:p>
      <w:pPr>
        <w:spacing w:after="200"/>
      </w:pPr>
    </w:p>
    <w:p>
      <w:pPr>
        <w:spacing w:after="200" w:line="480"/>
      </w:pPr>
      <w:r>
        <w:rPr>
          <w:rFonts w:ascii="Times New Roman" w:cs="Times New Roman" w:eastAsia="Times New Roman" w:hAnsi="Times New Roman"/>
          <w:b/>
          <w:bCs/>
          <w:sz w:val="24"/>
          <w:szCs w:val="24"/>
        </w:rPr>
        <w:t xml:space="preserve">ATA response category: </w:t>
      </w:r>
      <w:r>
        <w:rPr>
          <w:rFonts w:ascii="Times New Roman" w:cs="Times New Roman" w:eastAsia="Times New Roman" w:hAnsi="Times New Roman"/>
          <w:sz w:val="24"/>
          <w:szCs w:val="24"/>
        </w:rPr>
        <w:t xml:space="preserve">Available for only a subset of patients. Not included in regression models due to missingness and post-treatment timing (response assessment occurs after initial therapy, introducing reverse causation risk).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8"/>
        <w:szCs w:val="18"/>
      </w:rPr>
      <w:t xml:space="preserve">Microscopic ETE and Recurrence in DTC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2026-05-04T19:30:10.147Z</dcterms:created>
  <dcterms:modified xsi:type="dcterms:W3CDTF">2026-05-04T19:30:10.148Z</dcterms:modified>
</cp:coreProperties>
</file>

<file path=docProps/custom.xml><?xml version="1.0" encoding="utf-8"?>
<Properties xmlns="http://schemas.openxmlformats.org/officeDocument/2006/custom-properties" xmlns:vt="http://schemas.openxmlformats.org/officeDocument/2006/docPropsVTypes"/>
</file>