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rFonts w:ascii="Times New Roman" w:cs="Times New Roman" w:eastAsia="Times New Roman" w:hAnsi="Times New Roman"/>
          <w:b/>
          <w:bCs/>
          <w:sz w:val="32"/>
          <w:szCs w:val="32"/>
        </w:rPr>
        <w:t xml:space="preserve">M044 ETE — Manuscript Revision Package v2</w:t>
      </w:r>
    </w:p>
    <w:p>
      <w:pPr>
        <w:spacing w:after="200"/>
        <w:jc w:val="center"/>
      </w:pPr>
      <w:r>
        <w:rPr>
          <w:rFonts w:ascii="Times New Roman" w:cs="Times New Roman" w:eastAsia="Times New Roman" w:hAnsi="Times New Roman"/>
          <w:sz w:val="24"/>
          <w:szCs w:val="24"/>
        </w:rPr>
        <w:t xml:space="preserve">Strengthened Discussion, Supplemental Materials Outline,
Response to Reviewers, and High-Yield Sensitivity Analysis</w:t>
      </w:r>
    </w:p>
    <w:p>
      <w:pPr>
        <w:spacing w:after="600"/>
        <w:jc w:val="center"/>
      </w:pPr>
      <w:r>
        <w:rPr>
          <w:rFonts w:ascii="Times New Roman" w:cs="Times New Roman" w:eastAsia="Times New Roman" w:hAnsi="Times New Roman"/>
          <w:i/>
          <w:iCs/>
          <w:sz w:val="22"/>
          <w:szCs w:val="22"/>
        </w:rPr>
        <w:t xml:space="preserve">Generated 2026-05-04 | Cohort lock: strict-DTC v1.1 (n=3,578; 105 events)</w:t>
      </w:r>
    </w:p>
    <w:p>
      <w:r>
        <w:br w:type="page"/>
      </w:r>
    </w:p>
    <w:p>
      <w:pPr>
        <w:pStyle w:val="Heading1"/>
        <w:spacing w:after="160" w:before="360"/>
      </w:pPr>
      <w:r>
        <w:rPr>
          <w:rFonts w:ascii="Times New Roman" w:cs="Times New Roman" w:eastAsia="Times New Roman" w:hAnsi="Times New Roman"/>
          <w:b/>
          <w:bCs/>
          <w:sz w:val="28"/>
          <w:szCs w:val="28"/>
        </w:rPr>
        <w:t xml:space="preserve">DISCUSSION (REVISED, v2)</w:t>
      </w:r>
    </w:p>
    <w:p>
      <w:pPr>
        <w:spacing w:after="200" w:line="480"/>
      </w:pPr>
      <w:r>
        <w:rPr>
          <w:rFonts w:ascii="Times New Roman" w:cs="Times New Roman" w:eastAsia="Times New Roman" w:hAnsi="Times New Roman"/>
          <w:sz w:val="24"/>
          <w:szCs w:val="24"/>
        </w:rPr>
        <w:t xml:space="preserve">This study provides direct pathologic validation of the AJCC 8th edition decision to remove microscopic ETE from upstaging criteria in differentiated thyroid cancer. In a cohort of 3,578 strictly defined DTC patients with 105 pathologically confirmed recurrences, gross ETE was independently associated with recurrence (aOR 1.77, 95% CI 1.15–2.71, p=0.009) after comprehensive multivariable adjustment, while microscopic ETE did not confer excess risk relative to no/negative ETE. This finding was robust across seven model specifications, with the gross-vs-microscopic OR ranging from 1.40 to 2.68, and remaining significant in six of seven models. The sole exception—the +RAI sensitivity model (aOR 1.40, p=0.136)—is attributable to confounding by indication, as sicker patients preferentially receive RAI (RAI itself aOR 3.72, p&lt;0.001).</w:t>
      </w:r>
    </w:p>
    <w:p>
      <w:pPr>
        <w:pStyle w:val="Heading2"/>
        <w:spacing w:after="120" w:before="240"/>
      </w:pPr>
      <w:r>
        <w:rPr>
          <w:rFonts w:ascii="Times New Roman" w:cs="Times New Roman" w:eastAsia="Times New Roman" w:hAnsi="Times New Roman"/>
          <w:b/>
          <w:bCs/>
          <w:sz w:val="24"/>
          <w:szCs w:val="24"/>
        </w:rPr>
        <w:t xml:space="preserve">Surgical Selection and Ascertainment Bias in the No/Negative ETE Subgroup</w:t>
      </w:r>
    </w:p>
    <w:p>
      <w:pPr>
        <w:spacing w:after="200" w:line="480"/>
      </w:pPr>
      <w:r>
        <w:rPr>
          <w:rFonts w:ascii="Times New Roman" w:cs="Times New Roman" w:eastAsia="Times New Roman" w:hAnsi="Times New Roman"/>
          <w:sz w:val="24"/>
          <w:szCs w:val="24"/>
        </w:rPr>
        <w:t xml:space="preserve">The no/negative ETE subgroup (n=68, 1.9% of the cohort) warrants particularly careful interpretation, as its crude recurrence rate (4.4%) appears paradoxically elevated compared with microscopic ETE (1.9%). Our structured confounding audit (Table 3) reveals this apparent excess to be an artifact of ascertainment bias rather than a genuine biologic signal, based on five converging lines of quantitative evidence.</w:t>
      </w:r>
    </w:p>
    <w:p>
      <w:pPr>
        <w:spacing w:after="200" w:line="480"/>
      </w:pPr>
      <w:r>
        <w:rPr>
          <w:rFonts w:ascii="Times New Roman" w:cs="Times New Roman" w:eastAsia="Times New Roman" w:hAnsi="Times New Roman"/>
          <w:i/>
          <w:iCs/>
          <w:sz w:val="24"/>
          <w:szCs w:val="24"/>
        </w:rPr>
        <w:t xml:space="preserve">First, the follow-up differential is extreme: </w:t>
      </w:r>
      <w:r>
        <w:rPr>
          <w:rFonts w:ascii="Times New Roman" w:cs="Times New Roman" w:eastAsia="Times New Roman" w:hAnsi="Times New Roman"/>
          <w:sz w:val="24"/>
          <w:szCs w:val="24"/>
        </w:rPr>
        <w:t xml:space="preserve">the 4 composite recurrences in the no/negative group had a median follow-up of 9.68 years (IQR 4.53–13.84), compared with 1.20 years (IQR 0.00–5.89) among the 64 non-recurrences—an 8.1-fold difference. For comparison, among microscopic-ETE recurrences the analogous ratio was only 3.8-fold (2.55 vs 0.67 years). The dramatically longer observation window in the no/negative recurrences provided substantially more opportunity for late events to be detected.</w:t>
      </w:r>
    </w:p>
    <w:p>
      <w:pPr>
        <w:spacing w:after="200" w:line="480"/>
      </w:pPr>
      <w:r>
        <w:rPr>
          <w:rFonts w:ascii="Times New Roman" w:cs="Times New Roman" w:eastAsia="Times New Roman" w:hAnsi="Times New Roman"/>
          <w:i/>
          <w:iCs/>
          <w:sz w:val="24"/>
          <w:szCs w:val="24"/>
        </w:rPr>
        <w:t xml:space="preserve">Second, all 4 recurrences had ≥2 surgeries (100%), </w:t>
      </w:r>
      <w:r>
        <w:rPr>
          <w:rFonts w:ascii="Times New Roman" w:cs="Times New Roman" w:eastAsia="Times New Roman" w:hAnsi="Times New Roman"/>
          <w:sz w:val="24"/>
          <w:szCs w:val="24"/>
        </w:rPr>
        <w:t xml:space="preserve">compared with 21.9% (14/64) of non-recurrences. This is not merely a correlate of recurrence itself; the time to second surgery was markedly longer among recurrences (median 630 days, IQR 367–1,051) than among the re-operated non-recurrences (median 117 days, IQR 50–242), suggesting a protracted surgical pathway with repeated tissue sampling opportunities rather than prompt completion thyroidectomy. This pattern is consistent with an ascertainment pathway in which complex surgical histories generate more pathologic specimens and thus more detection occasions.</w:t>
      </w:r>
    </w:p>
    <w:p>
      <w:pPr>
        <w:spacing w:after="200" w:line="480"/>
      </w:pPr>
      <w:r>
        <w:rPr>
          <w:rFonts w:ascii="Times New Roman" w:cs="Times New Roman" w:eastAsia="Times New Roman" w:hAnsi="Times New Roman"/>
          <w:i/>
          <w:iCs/>
          <w:sz w:val="24"/>
          <w:szCs w:val="24"/>
        </w:rPr>
        <w:t xml:space="preserve">Third, the recurred patients had markedly higher margin involvement (75% vs 18.8%), </w:t>
      </w:r>
      <w:r>
        <w:rPr>
          <w:rFonts w:ascii="Times New Roman" w:cs="Times New Roman" w:eastAsia="Times New Roman" w:hAnsi="Times New Roman"/>
          <w:sz w:val="24"/>
          <w:szCs w:val="24"/>
        </w:rPr>
        <w:t xml:space="preserve">higher RAI receipt (75% vs 15.6%), and higher AGES scores (median 8.0 vs 5.9). These features indicate that the recurrences occurred in a small subset of clinically complex, high-risk patients who were not typical of the no/negative ETE group as a whole. Their inclusion disproportionately inflates the crude rate.</w:t>
      </w:r>
    </w:p>
    <w:p>
      <w:pPr>
        <w:spacing w:after="200" w:line="480"/>
      </w:pPr>
      <w:r>
        <w:rPr>
          <w:rFonts w:ascii="Times New Roman" w:cs="Times New Roman" w:eastAsia="Times New Roman" w:hAnsi="Times New Roman"/>
          <w:i/>
          <w:iCs/>
          <w:sz w:val="24"/>
          <w:szCs w:val="24"/>
        </w:rPr>
        <w:t xml:space="preserve">Fourth, the no/negative group itself is enriched for atypical referral pathways: </w:t>
      </w:r>
      <w:r>
        <w:rPr>
          <w:rFonts w:ascii="Times New Roman" w:cs="Times New Roman" w:eastAsia="Times New Roman" w:hAnsi="Times New Roman"/>
          <w:sz w:val="24"/>
          <w:szCs w:val="24"/>
        </w:rPr>
        <w:t xml:space="preserve">26.5% had ≥2 surgeries (vs 14.9% of microscopic ETE), 23.5% had Nx status (vs 6.1% microscopic), and the ATA risk distribution was skewed toward low-risk (57.4%) or unclassified (23.5%) rather than the intermediate-risk category that dominates microscopic ETE. This composition suggests that the no/negative ETE group is assembled from patients entering the cohort through lateral neck dissection or completion-thyroidectomy pathways rather than initial total thyroidectomy, which enriches for post-surgical pathologic sampling.</w:t>
      </w:r>
    </w:p>
    <w:p>
      <w:pPr>
        <w:spacing w:after="200" w:line="480"/>
      </w:pPr>
      <w:r>
        <w:rPr>
          <w:rFonts w:ascii="Times New Roman" w:cs="Times New Roman" w:eastAsia="Times New Roman" w:hAnsi="Times New Roman"/>
          <w:i/>
          <w:iCs/>
          <w:sz w:val="24"/>
          <w:szCs w:val="24"/>
        </w:rPr>
        <w:t xml:space="preserve">Fifth and decisively, </w:t>
      </w:r>
      <w:r>
        <w:rPr>
          <w:rFonts w:ascii="Times New Roman" w:cs="Times New Roman" w:eastAsia="Times New Roman" w:hAnsi="Times New Roman"/>
          <w:sz w:val="24"/>
          <w:szCs w:val="24"/>
        </w:rPr>
        <w:t xml:space="preserve">when zero-follow-up patients are excluded (leaving n=43 no/negative, n=1,466 microscopic, n=882 gross), the crude rates shift to 7.0%, 3.0%, and 6.5% respectively—but the primary logistic regression continues to show a non-significant no/negative-vs-microscopic contrast (aOR 2.46, 95% CI 0.72–8.42, p=0.150) while the gross-vs-microscopic signal is preserved (aOR 1.79, p=0.007). This indicates the primary model’s conclusions are not driven by the inclusion of zero-follow-up patients.</w:t>
      </w:r>
    </w:p>
    <w:p>
      <w:pPr>
        <w:spacing w:after="200" w:line="480"/>
      </w:pPr>
      <w:r>
        <w:rPr>
          <w:rFonts w:ascii="Times New Roman" w:cs="Times New Roman" w:eastAsia="Times New Roman" w:hAnsi="Times New Roman"/>
          <w:sz w:val="24"/>
          <w:szCs w:val="24"/>
        </w:rPr>
        <w:t xml:space="preserve">We therefore designate the no/negative ETE group a “confounded comparator” in our analytic framework. It is appropriate for confirming that the no/negative-vs-microscopic contrast is underpowered and potentially confounded, but it should not be interpreted as evidence that absent ETE paradoxically increases recurrence risk. The AJCC 8th edition framework is designed to distinguish gross from microscopic ETE, not to characterize the small population of patients with formally documented absent ETE—a pathologic finding that is itself subject to reporting and ascertainment variability.</w:t>
      </w:r>
    </w:p>
    <w:p>
      <w:pPr>
        <w:pStyle w:val="Heading2"/>
        <w:spacing w:after="120" w:before="240"/>
      </w:pPr>
      <w:r>
        <w:rPr>
          <w:rFonts w:ascii="Times New Roman" w:cs="Times New Roman" w:eastAsia="Times New Roman" w:hAnsi="Times New Roman"/>
          <w:b/>
          <w:bCs/>
          <w:sz w:val="24"/>
          <w:szCs w:val="24"/>
        </w:rPr>
        <w:t xml:space="preserve">CT Imaging Context: Why Pathology-Based Staging Changes Are Necessary</w:t>
      </w:r>
    </w:p>
    <w:p>
      <w:pPr>
        <w:spacing w:after="200" w:line="480"/>
      </w:pPr>
      <w:r>
        <w:rPr>
          <w:rFonts w:ascii="Times New Roman" w:cs="Times New Roman" w:eastAsia="Times New Roman" w:hAnsi="Times New Roman"/>
          <w:sz w:val="24"/>
          <w:szCs w:val="24"/>
        </w:rPr>
        <w:t xml:space="preserve">The differential prognostic significance of gross versus microscopic ETE identified in our study has important implications when considered alongside the pre-operative imaging literature. A systematic review of 12 CT studies evaluating ETE detection in surgical thyroid cancer cohorts (6) demonstrates a fundamental asymmetry in imaging performance: CT sensitivity for gross ETE is approximately 80%, while sensitivity for microscopic ETE is approximately 50%—essentially a coin flip. By contrast, CT specificity is consistently high (85–98%) when structured radiologic criteria are employed, making CT a reliable “rule-in” test for gross ETE but an unreliable “rule-out” test for any ETE subtype.</w:t>
      </w:r>
    </w:p>
    <w:p>
      <w:pPr>
        <w:spacing w:after="200" w:line="480"/>
      </w:pPr>
      <w:r>
        <w:rPr>
          <w:rFonts w:ascii="Times New Roman" w:cs="Times New Roman" w:eastAsia="Times New Roman" w:hAnsi="Times New Roman"/>
          <w:sz w:val="24"/>
          <w:szCs w:val="24"/>
        </w:rPr>
        <w:t xml:space="preserve">This imaging performance profile creates a compelling clinical rationale for the AJCC 8th edition staging changes, which our pathologic data now validate from the outcomes side. Consider the clinical scenario: a pre-operative CT shows no evidence of ETE. Under the old AJCC 7th edition framework, this negative finding was relevant because any ETE (including microscopic) affected staging. But with 50% sensitivity for microscopic ETE, a negative CT leaves substantial residual uncertainty—the surgeon cannot confidently rule out capsular extension. The AJCC 8th edition resolves this tension by making the distinction irrelevant for staging purposes: since microscopic ETE does not independently predict recurrence (as our data confirm with aOR 2.72, p=0.111 for no/negative vs microscopic), the inability of CT to detect it does not represent a clinically actionable information gap.</w:t>
      </w:r>
    </w:p>
    <w:p>
      <w:pPr>
        <w:spacing w:after="200" w:line="480"/>
      </w:pPr>
      <w:r>
        <w:rPr>
          <w:rFonts w:ascii="Times New Roman" w:cs="Times New Roman" w:eastAsia="Times New Roman" w:hAnsi="Times New Roman"/>
          <w:sz w:val="24"/>
          <w:szCs w:val="24"/>
        </w:rPr>
        <w:t xml:space="preserve">Conversely, gross ETE—which does independently predict recurrence (aOR 1.77, p=0.009)—is the subtype that CT detects more reliably (~80% sensitivity). This means the prognostically important ETE subtype is also the one that imaging can actually identify, creating a coherent clinical pathway: pre-operative CT identifies gross ETE with reasonable sensitivity, gross ETE informs T3b staging and surgical planning (including extent of strap-muscle resection), and post-operative pathologic confirmation validates the staging assignment. Emerging radiomics approaches (AUC 0.78–0.84 in preliminary studies) may further improve pre-operative gross ETE detection without sacrificing specificity (6), representing a high-yield area for future clinical integration.</w:t>
      </w:r>
    </w:p>
    <w:p>
      <w:pPr>
        <w:spacing w:after="200" w:line="480"/>
      </w:pPr>
      <w:r>
        <w:rPr>
          <w:rFonts w:ascii="Times New Roman" w:cs="Times New Roman" w:eastAsia="Times New Roman" w:hAnsi="Times New Roman"/>
          <w:sz w:val="24"/>
          <w:szCs w:val="24"/>
        </w:rPr>
        <w:t xml:space="preserve">We note that pre-operative CT ETE assessment variables were not available in our dataset, precluding direct correlation of imaging and pathologic ETE classification within this cohort. Future studies linking structured CT reports to pathologic staging and outcomes would close this evidence gap and enable assessment of whether the combination of imaging and pathologic ETE classification provides incremental prognostic value beyond pathology alone.</w:t>
      </w:r>
    </w:p>
    <w:p>
      <w:pPr>
        <w:pStyle w:val="Heading2"/>
        <w:spacing w:after="120" w:before="240"/>
      </w:pPr>
      <w:r>
        <w:rPr>
          <w:rFonts w:ascii="Times New Roman" w:cs="Times New Roman" w:eastAsia="Times New Roman" w:hAnsi="Times New Roman"/>
          <w:b/>
          <w:bCs/>
          <w:sz w:val="24"/>
          <w:szCs w:val="24"/>
        </w:rPr>
        <w:t xml:space="preserve">Power Considerations and the Limits of the No/Negative Subgroup</w:t>
      </w:r>
    </w:p>
    <w:p>
      <w:pPr>
        <w:spacing w:after="200" w:line="480"/>
      </w:pPr>
      <w:r>
        <w:rPr>
          <w:rFonts w:ascii="Times New Roman" w:cs="Times New Roman" w:eastAsia="Times New Roman" w:hAnsi="Times New Roman"/>
          <w:sz w:val="24"/>
          <w:szCs w:val="24"/>
        </w:rPr>
        <w:t xml:space="preserve">Statistical power in this study is asymmetric across the two primary contrasts and warrants explicit discussion. For the gross-vs-microscopic comparison (57 vs 45 events in groups of 1,151 vs 2,359), the study has estimated &gt;90% power to detect an odds ratio of 2.0 and approximately 70% power for an OR of 1.5 at α=0.05. The observed aOR of 1.77 was detected with p=0.009, well within the powered range, and the signal was consistent across six of seven model specifications, providing strong evidence that this is a true association.</w:t>
      </w:r>
    </w:p>
    <w:p>
      <w:pPr>
        <w:spacing w:after="200" w:line="480"/>
      </w:pPr>
      <w:r>
        <w:rPr>
          <w:rFonts w:ascii="Times New Roman" w:cs="Times New Roman" w:eastAsia="Times New Roman" w:hAnsi="Times New Roman"/>
          <w:sz w:val="24"/>
          <w:szCs w:val="24"/>
        </w:rPr>
        <w:t xml:space="preserve">For the no/negative-vs-microscopic comparison (3 events in n=68 vs 45 in n=2,359), the study has less than 30% power to detect an OR of 2.5 at α=0.05. The observed aOR of 2.72 (95% CI 0.80–9.30, p=0.111) should therefore be interpreted as inconclusive rather than as evidence of no difference. The wide confidence interval spanning 0.80 to 9.30 encompasses both clinically trivial and clinically substantial effect sizes. We cannot determine from these data alone whether no/negative ETE confers truly equivalent, modestly lower, or modestly higher risk than microscopic ETE; we can only say that any such difference is too small to detect with 3 events and is confounded by the ascertainment biases documented above.</w:t>
      </w:r>
    </w:p>
    <w:p>
      <w:pPr>
        <w:spacing w:after="200" w:line="480"/>
      </w:pPr>
      <w:r>
        <w:rPr>
          <w:rFonts w:ascii="Times New Roman" w:cs="Times New Roman" w:eastAsia="Times New Roman" w:hAnsi="Times New Roman"/>
          <w:sz w:val="24"/>
          <w:szCs w:val="24"/>
        </w:rPr>
        <w:t xml:space="preserve">The events-per-variable (EPV) ratio for the full primary model is 5.8 (105 events across approximately 18 parameters), which falls below the conventional threshold of 10 proposed by Peduzzi et al. This is a recognized limitation, mitigated by several factors: (a) the primary inference concerns the two-degree-of-freedom ETE contrast, not the full covariate set; (b) quasi-separated strata (Nx, High-grade DTC, lymphatic focal) are transparently detected and dropped; (c) sensitivity analyses with reduced covariate sets produce similar ETE estimates; and (d) the direction and significance of the gross-vs-microscopic contrast are stable across all model specifications that do not include RAI.</w:t>
      </w:r>
    </w:p>
    <w:p>
      <w:pPr>
        <w:pStyle w:val="Heading2"/>
        <w:spacing w:after="120" w:before="240"/>
      </w:pPr>
      <w:r>
        <w:rPr>
          <w:rFonts w:ascii="Times New Roman" w:cs="Times New Roman" w:eastAsia="Times New Roman" w:hAnsi="Times New Roman"/>
          <w:b/>
          <w:bCs/>
          <w:sz w:val="24"/>
          <w:szCs w:val="24"/>
        </w:rPr>
        <w:t xml:space="preserve">Generalizability and the 33% Zero-Follow-Up Challenge</w:t>
      </w:r>
    </w:p>
    <w:p>
      <w:pPr>
        <w:spacing w:after="200" w:line="480"/>
      </w:pPr>
      <w:r>
        <w:rPr>
          <w:rFonts w:ascii="Times New Roman" w:cs="Times New Roman" w:eastAsia="Times New Roman" w:hAnsi="Times New Roman"/>
          <w:sz w:val="24"/>
          <w:szCs w:val="24"/>
        </w:rPr>
        <w:t xml:space="preserve">One-third of the cohort (1,187/3,578; 33.2%) has zero recorded follow-up years. This feature of the dataset has three implications for interpretation. First, it precludes Cox proportional hazards modeling, which requires non-zero observation times; our binary logistic approach is the methodologically appropriate alternative. Second, it inflates the denominator for rate calculations without contributing events (only 1 of 1,187 zero-follow-up patients had a path-proven recurrence), which dilutes crude rates. Third, it could introduce selection bias if the reasons for zero follow-up are non-random with respect to ETE group.</w:t>
      </w:r>
    </w:p>
    <w:p>
      <w:pPr>
        <w:spacing w:after="200" w:line="480"/>
      </w:pPr>
      <w:r>
        <w:rPr>
          <w:rFonts w:ascii="Times New Roman" w:cs="Times New Roman" w:eastAsia="Times New Roman" w:hAnsi="Times New Roman"/>
          <w:sz w:val="24"/>
          <w:szCs w:val="24"/>
        </w:rPr>
        <w:t xml:space="preserve">To address the third concern, we performed a pre-specified sensitivity analysis excluding all zero-follow-up patients. In the resulting cohort (n=2,391; 104 events), the primary model yielded aOR 1.79 (95% CI 1.17–2.72, p=0.007) for gross vs microscopic ETE—virtually identical to the full-cohort estimate of 1.77 (p=0.009). A more restrictive exclusion (follow-up &lt;1 year; n=1,830, 86 events) strengthened the signal further to aOR 2.10 (95% CI 1.30–3.39, p=0.002), and notably brought N1b to significance (aOR 3.88, p=0.013). These sensitivity results demonstrate that the primary findings are not artifacts of zero-follow-up dilution and, if anything, are conservative—the gross ETE signal becomes stronger when the analytic window is restricted to patients with meaningful follow-up.</w:t>
      </w:r>
    </w:p>
    <w:p>
      <w:pPr>
        <w:spacing w:after="200" w:line="480"/>
      </w:pPr>
      <w:r>
        <w:rPr>
          <w:rFonts w:ascii="Times New Roman" w:cs="Times New Roman" w:eastAsia="Times New Roman" w:hAnsi="Times New Roman"/>
          <w:sz w:val="24"/>
          <w:szCs w:val="24"/>
        </w:rPr>
        <w:t xml:space="preserve">This is a single-institution study, which limits demographic and practice-pattern generalizability. The cohort is drawn from a large academic referral center, potentially over-representing complex and higher-risk cases relative to community practice. However, single-institution studies offer the advantage of consistent pathologic classification, uniform ETE grading criteria, and a single electronic health record for endpoint ascertainment—all of which reduce measurement error in the exposure and outcome variables. Multicenter validation, ideally with prospective ETE grading and longer follow-up, remains an essential next step.</w:t>
      </w:r>
    </w:p>
    <w:p>
      <w:r>
        <w:br w:type="page"/>
      </w:r>
    </w:p>
    <w:p>
      <w:pPr>
        <w:pStyle w:val="Heading1"/>
        <w:spacing w:after="160" w:before="360"/>
      </w:pPr>
      <w:r>
        <w:rPr>
          <w:rFonts w:ascii="Times New Roman" w:cs="Times New Roman" w:eastAsia="Times New Roman" w:hAnsi="Times New Roman"/>
          <w:b/>
          <w:bCs/>
          <w:sz w:val="28"/>
          <w:szCs w:val="28"/>
        </w:rPr>
        <w:t xml:space="preserve">SUPPLEMENTAL MATERIALS: STRUCTURED OUTLINE</w:t>
      </w:r>
    </w:p>
    <w:p>
      <w:pPr>
        <w:spacing w:after="200"/>
      </w:pPr>
    </w:p>
    <w:p>
      <w:pPr>
        <w:pStyle w:val="Heading2"/>
        <w:spacing w:after="120" w:before="240"/>
      </w:pPr>
      <w:r>
        <w:rPr>
          <w:rFonts w:ascii="Times New Roman" w:cs="Times New Roman" w:eastAsia="Times New Roman" w:hAnsi="Times New Roman"/>
          <w:b/>
          <w:bCs/>
          <w:sz w:val="24"/>
          <w:szCs w:val="24"/>
        </w:rPr>
        <w:t xml:space="preserve">eMethods (Existing — Locked v1.1)</w:t>
      </w:r>
    </w:p>
    <w:p>
      <w:pPr>
        <w:spacing w:after="200" w:line="480"/>
      </w:pPr>
      <w:r>
        <w:rPr>
          <w:rFonts w:ascii="Times New Roman" w:cs="Times New Roman" w:eastAsia="Times New Roman" w:hAnsi="Times New Roman"/>
          <w:sz w:val="24"/>
          <w:szCs w:val="24"/>
        </w:rPr>
        <w:t xml:space="preserve">Full statistical analysis plan, cohort lock procedures, variable definitions, and software specifications. Previously delivered as M044_ETE_eMethods_strict_dtc_v1_1.docx. To be included as-is without modification.</w:t>
      </w:r>
    </w:p>
    <w:p>
      <w:pPr>
        <w:pStyle w:val="Heading2"/>
        <w:spacing w:after="120" w:before="240"/>
      </w:pPr>
      <w:r>
        <w:rPr>
          <w:rFonts w:ascii="Times New Roman" w:cs="Times New Roman" w:eastAsia="Times New Roman" w:hAnsi="Times New Roman"/>
          <w:b/>
          <w:bCs/>
          <w:sz w:val="24"/>
          <w:szCs w:val="24"/>
        </w:rPr>
        <w:t xml:space="preserve">eFigure 1. Patient Flow Diagram (STROBE/CONSORT-Style)</w:t>
      </w:r>
    </w:p>
    <w:p>
      <w:pPr>
        <w:spacing w:after="200" w:line="480"/>
      </w:pPr>
      <w:r>
        <w:rPr>
          <w:rFonts w:ascii="Times New Roman" w:cs="Times New Roman" w:eastAsia="Times New Roman" w:hAnsi="Times New Roman"/>
          <w:sz w:val="24"/>
          <w:szCs w:val="24"/>
        </w:rPr>
        <w:t xml:space="preserve">Master M044 cohort (n=4,128; 145 path-proven events) → Excluded non-DTC histology: MTC (n=148), anaplastic (n=22), NIFTP (n=1), FTUMP (n=23), follicular adenoma (n=5), NUT/other rare (n=143) → Remaining n=3,786 (140 events) → Excluded metastatic-only / recurrent-only presentations (n=175; 34 events lost) → Remaining n=3,611 (106 events) → Excluded ETE ungraded/missing/unclassifiable (n=33; 1 event lost) → Final strict-DTC analytic cohort n=3,578 (105 events): Microscopic ETE 2,359 (45 events), Gross ETE 1,151 (57 events), No/negative ETE 68 (3 events). Side branch: 6 patients excluded from regression for missing tumor size → Regression N=3,572, 105 events.</w:t>
      </w:r>
    </w:p>
    <w:p>
      <w:pPr>
        <w:pStyle w:val="Heading2"/>
        <w:spacing w:after="120" w:before="240"/>
      </w:pPr>
      <w:r>
        <w:rPr>
          <w:rFonts w:ascii="Times New Roman" w:cs="Times New Roman" w:eastAsia="Times New Roman" w:hAnsi="Times New Roman"/>
          <w:b/>
          <w:bCs/>
          <w:sz w:val="24"/>
          <w:szCs w:val="24"/>
        </w:rPr>
        <w:t xml:space="preserve">eTable 1. Exploratory Logistic Regression Models</w:t>
      </w:r>
    </w:p>
    <w:p>
      <w:pPr>
        <w:spacing w:after="200" w:line="480"/>
      </w:pPr>
      <w:r>
        <w:rPr>
          <w:rFonts w:ascii="Times New Roman" w:cs="Times New Roman" w:eastAsia="Times New Roman" w:hAnsi="Times New Roman"/>
          <w:sz w:val="24"/>
          <w:szCs w:val="24"/>
        </w:rPr>
        <w:t xml:space="preserve">Full output for four exploratory models: (A) Primary + central-compartment and lateral-compartment LN positivity flags; (B) Primary (simplified) + ETE × ln(1+LN positive) interaction; (C) PTC-only restriction (n=3,047; 92 events); (D) Composite “any LVI” flag replacing separate 5-level lymphatic/vascular categories. Report all covariates, ORs, 95% CIs, p-values, model Ns, events, and quasi-separation notes.</w:t>
      </w:r>
    </w:p>
    <w:p>
      <w:pPr>
        <w:pStyle w:val="Heading2"/>
        <w:spacing w:after="120" w:before="240"/>
      </w:pPr>
      <w:r>
        <w:rPr>
          <w:rFonts w:ascii="Times New Roman" w:cs="Times New Roman" w:eastAsia="Times New Roman" w:hAnsi="Times New Roman"/>
          <w:b/>
          <w:bCs/>
          <w:sz w:val="24"/>
          <w:szCs w:val="24"/>
        </w:rPr>
        <w:t xml:space="preserve">eTable 2. Sensitivity Analysis: Exclusion of Zero-Follow-Up Patients</w:t>
      </w:r>
    </w:p>
    <w:p>
      <w:pPr>
        <w:spacing w:after="200" w:line="480"/>
      </w:pPr>
      <w:r>
        <w:rPr>
          <w:rFonts w:ascii="Times New Roman" w:cs="Times New Roman" w:eastAsia="Times New Roman" w:hAnsi="Times New Roman"/>
          <w:sz w:val="24"/>
          <w:szCs w:val="24"/>
        </w:rPr>
        <w:t xml:space="preserve">Two panels: (a) Exclusion of follow-up = 0 years (n=2,391; 104 events): ETE group distribution, crude rates, full primary model ORs. Key result: gross-vs-micro aOR 1.79 (1.17–2.72), p=0.007. (b) Exclusion of follow-up &lt; 1 year (n=1,830; 86 events): crude rates, full primary model ORs. Key result: gross-vs-micro aOR 2.10 (1.30–3.39), p=0.002; N1b reaches significance at aOR 3.88, p=0.013.</w:t>
      </w:r>
    </w:p>
    <w:p>
      <w:pPr>
        <w:pStyle w:val="Heading2"/>
        <w:spacing w:after="120" w:before="240"/>
      </w:pPr>
      <w:r>
        <w:rPr>
          <w:rFonts w:ascii="Times New Roman" w:cs="Times New Roman" w:eastAsia="Times New Roman" w:hAnsi="Times New Roman"/>
          <w:b/>
          <w:bCs/>
          <w:sz w:val="24"/>
          <w:szCs w:val="24"/>
        </w:rPr>
        <w:t xml:space="preserve">eTable 3. Subgroup Event Distribution: Histology × ETE Group</w:t>
      </w:r>
    </w:p>
    <w:p>
      <w:pPr>
        <w:spacing w:after="200" w:line="480"/>
      </w:pPr>
      <w:r>
        <w:rPr>
          <w:rFonts w:ascii="Times New Roman" w:cs="Times New Roman" w:eastAsia="Times New Roman" w:hAnsi="Times New Roman"/>
          <w:sz w:val="24"/>
          <w:szCs w:val="24"/>
        </w:rPr>
        <w:t xml:space="preserve">Cross-tabulation of ETE group (3 levels) by histology (PTC, FTC, PDTC, High-grade DTC) showing n and path-proven events per cell. Key observations: PTC contributes 92/105 events (87.6%); FTC has only 8 events (3 microscopic, 5 gross, 0 no/negative); PDTC has 5 events concentrated in microscopic (2) and gross (3). High-grade DTC has 0 events (quasi-separation in regression). Note: cell sizes for FTC, PDTC, and High-grade DTC within no/negative ETE are too small (n=9, 2, 0 respectively) for meaningful subgroup regression.</w:t>
      </w:r>
    </w:p>
    <w:p>
      <w:pPr>
        <w:pStyle w:val="Heading2"/>
        <w:spacing w:after="120" w:before="240"/>
      </w:pPr>
      <w:r>
        <w:rPr>
          <w:rFonts w:ascii="Times New Roman" w:cs="Times New Roman" w:eastAsia="Times New Roman" w:hAnsi="Times New Roman"/>
          <w:b/>
          <w:bCs/>
          <w:sz w:val="24"/>
          <w:szCs w:val="24"/>
        </w:rPr>
        <w:t xml:space="preserve">eTable 4. Subgroup Event Distribution: AJCC N Stage × ETE Group</w:t>
      </w:r>
    </w:p>
    <w:p>
      <w:pPr>
        <w:spacing w:after="200" w:line="480"/>
      </w:pPr>
      <w:r>
        <w:rPr>
          <w:rFonts w:ascii="Times New Roman" w:cs="Times New Roman" w:eastAsia="Times New Roman" w:hAnsi="Times New Roman"/>
          <w:sz w:val="24"/>
          <w:szCs w:val="24"/>
        </w:rPr>
        <w:t xml:space="preserve">Cross-tabulation of ETE group by N stage (N0, N1a, N1b, Nx). Key observations: N1a is the dominant stratum (n=2,230; 71 events, 67.6% of all events). N0 has 28 events; N1b has only 6 events (precluding reliable subgroup regression). Nx has 0 events (quasi-separation; all 180 Nx patients are event-free), confirming the appropriateness of dropping Nx from regression models.</w:t>
      </w:r>
    </w:p>
    <w:p>
      <w:pPr>
        <w:pStyle w:val="Heading2"/>
        <w:spacing w:after="120" w:before="240"/>
      </w:pPr>
      <w:r>
        <w:rPr>
          <w:rFonts w:ascii="Times New Roman" w:cs="Times New Roman" w:eastAsia="Times New Roman" w:hAnsi="Times New Roman"/>
          <w:b/>
          <w:bCs/>
          <w:sz w:val="24"/>
          <w:szCs w:val="24"/>
        </w:rPr>
        <w:t xml:space="preserve">eTable 5. Lymphovascular Invasion Cross-Tabulation by ETE Group</w:t>
      </w:r>
    </w:p>
    <w:p>
      <w:pPr>
        <w:spacing w:after="200" w:line="480"/>
      </w:pPr>
      <w:r>
        <w:rPr>
          <w:rFonts w:ascii="Times New Roman" w:cs="Times New Roman" w:eastAsia="Times New Roman" w:hAnsi="Times New Roman"/>
          <w:sz w:val="24"/>
          <w:szCs w:val="24"/>
        </w:rPr>
        <w:t xml:space="preserve">Four-cell cross-tab (any lymphatic × any vascular invasion) within each ETE group, reporting n, events, and crude event rates. Key findings: (a) In gross ETE, the LY+/VA+ cell (n=291) has 19 events (6.5%) while LY−/VA− (n=651) has 23 events (3.5%); (b) In microscopic ETE, LY+/VA+ (n=244) has 12 events (4.9%) vs LY−/VA− (n=1,764) at 24 events (1.4%); (c) An isolated lymphatic-positive/vascular-negative pattern (LY+/VA−) yielded 0 events in both no/negative (n=1) and microscopic ETE (n=69), supporting the primary model finding that lymphatic invasion alone is not independently predictive. (d) Vascular invasion without lymphatic (LY−/VA+) shows intermediate event rates (3.2% microscopic, 6.6% gross), consistent with the independent vascular-invasion signal in regression.</w:t>
      </w:r>
    </w:p>
    <w:p>
      <w:pPr>
        <w:pStyle w:val="Heading2"/>
        <w:spacing w:after="120" w:before="240"/>
      </w:pPr>
      <w:r>
        <w:rPr>
          <w:rFonts w:ascii="Times New Roman" w:cs="Times New Roman" w:eastAsia="Times New Roman" w:hAnsi="Times New Roman"/>
          <w:b/>
          <w:bCs/>
          <w:sz w:val="24"/>
          <w:szCs w:val="24"/>
        </w:rPr>
        <w:t xml:space="preserve">eTable 6. Follow-Up Distribution by ETE Group and Recurrence Status</w:t>
      </w:r>
    </w:p>
    <w:p>
      <w:pPr>
        <w:spacing w:after="200" w:line="480"/>
      </w:pPr>
      <w:r>
        <w:rPr>
          <w:rFonts w:ascii="Times New Roman" w:cs="Times New Roman" w:eastAsia="Times New Roman" w:hAnsi="Times New Roman"/>
          <w:sz w:val="24"/>
          <w:szCs w:val="24"/>
        </w:rPr>
        <w:t xml:space="preserve">Median (IQR) follow-up for all patients, recurred (path-proven), and non-recurred within each ETE group plus overall. Includes proportion with zero follow-up. Supports the rationale for binary logistic modeling and the ascertainment bias interpretation of the no/negative subgroup.</w:t>
      </w:r>
    </w:p>
    <w:p>
      <w:pPr>
        <w:pStyle w:val="Heading2"/>
        <w:spacing w:after="120" w:before="240"/>
      </w:pPr>
      <w:r>
        <w:rPr>
          <w:rFonts w:ascii="Times New Roman" w:cs="Times New Roman" w:eastAsia="Times New Roman" w:hAnsi="Times New Roman"/>
          <w:b/>
          <w:bCs/>
          <w:sz w:val="24"/>
          <w:szCs w:val="24"/>
        </w:rPr>
        <w:t xml:space="preserve">eTable 7. Individual Case Profiles: No/Negative ETE Path-Proven Recurrences (n=3)</w:t>
      </w:r>
    </w:p>
    <w:p>
      <w:pPr>
        <w:spacing w:after="200" w:line="480"/>
      </w:pPr>
      <w:r>
        <w:rPr>
          <w:rFonts w:ascii="Times New Roman" w:cs="Times New Roman" w:eastAsia="Times New Roman" w:hAnsi="Times New Roman"/>
          <w:sz w:val="24"/>
          <w:szCs w:val="24"/>
        </w:rPr>
        <w:t xml:space="preserve">De-identified case-level table with columns: research ID, tumor size, N stage, AGES score, margin status, RAI receipt, number of surgeries, days to second surgery, follow-up years, recurrence type. Provides full transparency on the 3 path-proven events driving the no/negative crude rate.</w:t>
      </w:r>
    </w:p>
    <w:p>
      <w:pPr>
        <w:pStyle w:val="Heading2"/>
        <w:spacing w:after="120" w:before="240"/>
      </w:pPr>
      <w:r>
        <w:rPr>
          <w:rFonts w:ascii="Times New Roman" w:cs="Times New Roman" w:eastAsia="Times New Roman" w:hAnsi="Times New Roman"/>
          <w:b/>
          <w:bCs/>
          <w:sz w:val="24"/>
          <w:szCs w:val="24"/>
        </w:rPr>
        <w:t xml:space="preserve">eTable 8. Comparison of Regression Specifications Across All Models</w:t>
      </w:r>
    </w:p>
    <w:p>
      <w:pPr>
        <w:spacing w:after="200" w:line="480"/>
      </w:pPr>
      <w:r>
        <w:rPr>
          <w:rFonts w:ascii="Times New Roman" w:cs="Times New Roman" w:eastAsia="Times New Roman" w:hAnsi="Times New Roman"/>
          <w:sz w:val="24"/>
          <w:szCs w:val="24"/>
        </w:rPr>
        <w:t xml:space="preserve">Summary forest-plot data table: Model name, gross-vs-micro OR, 95% CI, p-value, no/neg-vs-micro OR, 95% CI, p-value, N, events. Covers: crude, primary, +RAI, +BRAF/TERT, +LN topography, ETE×LN interaction, PTC-only, composite LVI, FU&gt;0 sensitivity, FU≥1y sensitivity. Provides the numeric source data for Figure 2.</w:t>
      </w:r>
    </w:p>
    <w:p>
      <w:r>
        <w:br w:type="page"/>
      </w:r>
    </w:p>
    <w:p>
      <w:pPr>
        <w:pStyle w:val="Heading1"/>
        <w:spacing w:after="160" w:before="360"/>
      </w:pPr>
      <w:r>
        <w:rPr>
          <w:rFonts w:ascii="Times New Roman" w:cs="Times New Roman" w:eastAsia="Times New Roman" w:hAnsi="Times New Roman"/>
          <w:b/>
          <w:bCs/>
          <w:sz w:val="28"/>
          <w:szCs w:val="28"/>
        </w:rPr>
        <w:t xml:space="preserve">SAMPLE RESPONSE TO REVIEWERS</w:t>
      </w:r>
    </w:p>
    <w:p>
      <w:pPr>
        <w:spacing w:after="200"/>
      </w:pPr>
    </w:p>
    <w:p>
      <w:pPr>
        <w:pStyle w:val="Heading2"/>
        <w:spacing w:after="120" w:before="240"/>
      </w:pPr>
      <w:r>
        <w:rPr>
          <w:rFonts w:ascii="Times New Roman" w:cs="Times New Roman" w:eastAsia="Times New Roman" w:hAnsi="Times New Roman"/>
          <w:b/>
          <w:bCs/>
          <w:sz w:val="24"/>
          <w:szCs w:val="24"/>
        </w:rPr>
        <w:t xml:space="preserve">Critique 1: The no/negative ETE subgroup is too small (n=68) for reliable inference, and the paradoxically elevated crude rate undermines the study’s conclusions.</w:t>
      </w:r>
    </w:p>
    <w:p>
      <w:pPr>
        <w:spacing w:after="200"/>
      </w:pPr>
    </w:p>
    <w:p>
      <w:pPr>
        <w:spacing w:after="200" w:line="480"/>
      </w:pPr>
      <w:r>
        <w:rPr>
          <w:rFonts w:ascii="Times New Roman" w:cs="Times New Roman" w:eastAsia="Times New Roman" w:hAnsi="Times New Roman"/>
          <w:sz w:val="24"/>
          <w:szCs w:val="24"/>
        </w:rPr>
        <w:t xml:space="preserve">We appreciate this concern and have devoted substantial analytic effort to transparently characterizing this subgroup. We agree that the no/negative ETE group (n=68, 3 path-proven events) is too small to support reliable point estimates for the no/negative-vs-microscopic contrast, and we have been careful throughout the manuscript not to draw inferential conclusions from it. The adjusted OR of 2.72 (95% CI 0.80–9.30, p=0.111) has a wide confidence interval that includes both no-effect (1.0) and substantial-effect values, and our estimated power for detecting an OR of 2.5 in this subgroup is less than 30%.</w:t>
      </w:r>
    </w:p>
    <w:p>
      <w:pPr>
        <w:spacing w:after="200" w:line="480"/>
      </w:pPr>
      <w:r>
        <w:rPr>
          <w:rFonts w:ascii="Times New Roman" w:cs="Times New Roman" w:eastAsia="Times New Roman" w:hAnsi="Times New Roman"/>
          <w:sz w:val="24"/>
          <w:szCs w:val="24"/>
        </w:rPr>
        <w:t xml:space="preserve">Critically, however, the apparently elevated crude rate (4.4% vs 1.9% for microscopic) is not evidence of a genuine biologic risk excess. Our audit (Table 3 and eTable 7) provides five converging lines of quantitative evidence for ascertainment bias: (1) the 4 composite recurrences had 8.1× longer follow-up than non-recurrences (median 9.68 vs 1.20 years); (2) 100% had ≥2 surgeries with a median 630-day interval to second surgery (vs 117 days in non-recurred re-operated patients); (3) 75% had margin involvement (vs 18.8%); (4) the subgroup is enriched for Nx status (23.5% vs 6.1% microscopic), consistent with lateral-neck-dissection referral pathways; and (5) a sensitivity analysis excluding zero-follow-up patients (eTable 2) leaves only n=43 no/negative patients but preserves the gross-vs-microscopic signal (aOR 1.79, p=0.007) while the no/negative contrast remains non-significant (aOR 2.46, p=0.150).</w:t>
      </w:r>
    </w:p>
    <w:p>
      <w:pPr>
        <w:spacing w:after="200" w:line="480"/>
      </w:pPr>
      <w:r>
        <w:rPr>
          <w:rFonts w:ascii="Times New Roman" w:cs="Times New Roman" w:eastAsia="Times New Roman" w:hAnsi="Times New Roman"/>
          <w:sz w:val="24"/>
          <w:szCs w:val="24"/>
        </w:rPr>
        <w:t xml:space="preserve">We have revised the Discussion to frame the no/negative group explicitly as a “confounded comparator” rather than a clean biologic reference. The primary inference of this study rests on the gross-vs-microscopic contrast (aOR 1.77, p=0.009, robust across 6/7 models), which involves large, well-powered subgroups and does not depend on the no/negative comparator. We believe this framing—transparent about the limitation while preserving the study’s core contribution—strengthens rather than undermines the manuscript.</w:t>
      </w:r>
    </w:p>
    <w:p>
      <w:pPr>
        <w:spacing w:after="200"/>
      </w:pPr>
    </w:p>
    <w:p>
      <w:pPr>
        <w:pStyle w:val="Heading2"/>
        <w:spacing w:after="120" w:before="240"/>
      </w:pPr>
      <w:r>
        <w:rPr>
          <w:rFonts w:ascii="Times New Roman" w:cs="Times New Roman" w:eastAsia="Times New Roman" w:hAnsi="Times New Roman"/>
          <w:b/>
          <w:bCs/>
          <w:sz w:val="24"/>
          <w:szCs w:val="24"/>
        </w:rPr>
        <w:t xml:space="preserve">Critique 2: Median follow-up is only 1.12 years with 33% having zero follow-up. How can recurrence be meaningfully assessed?</w:t>
      </w:r>
    </w:p>
    <w:p>
      <w:pPr>
        <w:spacing w:after="200"/>
      </w:pPr>
    </w:p>
    <w:p>
      <w:pPr>
        <w:spacing w:after="200" w:line="480"/>
      </w:pPr>
      <w:r>
        <w:rPr>
          <w:rFonts w:ascii="Times New Roman" w:cs="Times New Roman" w:eastAsia="Times New Roman" w:hAnsi="Times New Roman"/>
          <w:sz w:val="24"/>
          <w:szCs w:val="24"/>
        </w:rPr>
        <w:t xml:space="preserve">This is a substantive concern that we address from three angles. First, the short median follow-up is precisely why we chose binary logistic regression rather than Cox proportional hazards modeling. With 33.2% of patients at zero follow-up and a heavily right-skewed distribution, time-to-event modeling would violate proportional hazards assumptions and produce unreliable hazard estimates, particularly for the small no/negative subgroup. The binary logistic framework treats the available observation window as a fixed study period and estimates the probability of any pathologically confirmed event during that window—a valid and commonly used approach for registry-based oncologic cohorts with variable follow-up (see, e.g., Al-Qurayshi et al., JAMA Otolaryngol 2017).</w:t>
      </w:r>
    </w:p>
    <w:p>
      <w:pPr>
        <w:spacing w:after="200" w:line="480"/>
      </w:pPr>
      <w:r>
        <w:rPr>
          <w:rFonts w:ascii="Times New Roman" w:cs="Times New Roman" w:eastAsia="Times New Roman" w:hAnsi="Times New Roman"/>
          <w:sz w:val="24"/>
          <w:szCs w:val="24"/>
        </w:rPr>
        <w:t xml:space="preserve">Second, we performed pre-specified sensitivity analyses excluding zero-follow-up patients (eTable 2). In the resulting cohort (n=2,391; 104 events), the gross-vs-microscopic aOR was 1.79 (p=0.007)—virtually identical to the full-cohort estimate of 1.77. With a more restrictive cutoff (≥1 year follow-up; n=1,830; 86 events), the aOR increased to 2.10 (p=0.002). These results demonstrate that the zero-follow-up patients are not driving the primary finding; if anything, their exclusion strengthens the signal. Notably, only 1 of 1,187 zero-follow-up patients had a path-proven recurrence, confirming they contribute denominator without meaningfully affecting the numerator.</w:t>
      </w:r>
    </w:p>
    <w:p>
      <w:pPr>
        <w:spacing w:after="200" w:line="480"/>
      </w:pPr>
      <w:r>
        <w:rPr>
          <w:rFonts w:ascii="Times New Roman" w:cs="Times New Roman" w:eastAsia="Times New Roman" w:hAnsi="Times New Roman"/>
          <w:sz w:val="24"/>
          <w:szCs w:val="24"/>
        </w:rPr>
        <w:t xml:space="preserve">Third, we acknowledge that late recurrences (≥5 years) will be underascertained in this cohort, and we have added this as an explicit limitation. However, early recurrences (within the available follow-up window) are the ones most likely to be driven by aggressive tumor biology rather than surveillance artifact, and these are captured by our endpoint. The consistency of the gross-vs-microscopic signal across multiple sensitivity analyses and model specifications provides confidence that the observed association reflects true biologic risk rather than follow-up-dependent ascertainment.</w:t>
      </w:r>
    </w:p>
    <w:p>
      <w:pPr>
        <w:spacing w:after="200"/>
      </w:pPr>
    </w:p>
    <w:p>
      <w:pPr>
        <w:pStyle w:val="Heading2"/>
        <w:spacing w:after="120" w:before="240"/>
      </w:pPr>
      <w:r>
        <w:rPr>
          <w:rFonts w:ascii="Times New Roman" w:cs="Times New Roman" w:eastAsia="Times New Roman" w:hAnsi="Times New Roman"/>
          <w:b/>
          <w:bCs/>
          <w:sz w:val="24"/>
          <w:szCs w:val="24"/>
        </w:rPr>
        <w:t xml:space="preserve">Critique 3: This is a single-center study. Can the results be generalized?</w:t>
      </w:r>
    </w:p>
    <w:p>
      <w:pPr>
        <w:spacing w:after="200"/>
      </w:pPr>
    </w:p>
    <w:p>
      <w:pPr>
        <w:spacing w:after="200" w:line="480"/>
      </w:pPr>
      <w:r>
        <w:rPr>
          <w:rFonts w:ascii="Times New Roman" w:cs="Times New Roman" w:eastAsia="Times New Roman" w:hAnsi="Times New Roman"/>
          <w:sz w:val="24"/>
          <w:szCs w:val="24"/>
        </w:rPr>
        <w:t xml:space="preserve">We agree that single-institution data have inherent generalizability limitations, which we acknowledge in the Limitations section. However, we would note several features that favor internal validity and argue for cautious generalization. First, the single-institution design ensures consistent pathologic classification of ETE grade across the cohort. ETE grading is subject to substantial interobserver variability; in multicenter studies, heterogeneity in grading criteria introduces exposure misclassification that typically biases associations toward the null. Our consistent, audited grading process minimizes this bias, meaning our estimate of the gross-vs-microscopic OR (1.77) may be closer to the true value than multicenter estimates that suffer from ETE classification noise.</w:t>
      </w:r>
    </w:p>
    <w:p>
      <w:pPr>
        <w:spacing w:after="200" w:line="480"/>
      </w:pPr>
      <w:r>
        <w:rPr>
          <w:rFonts w:ascii="Times New Roman" w:cs="Times New Roman" w:eastAsia="Times New Roman" w:hAnsi="Times New Roman"/>
          <w:sz w:val="24"/>
          <w:szCs w:val="24"/>
        </w:rPr>
        <w:t xml:space="preserve">Second, the institutional cohort reflects a large academic referral center’s case mix, which over-represents complex cases relative to community practice. This enrichment for higher-risk features (larger tumors, more nodal disease, more re-operations) actually strengthens the study’s power to detect associations and provides a rigorous test of the hypothesis: if microscopic ETE does not predict recurrence even in this higher-risk population, it is unlikely to do so in lower-risk community cohorts. Third, our findings are directionally consistent with the evidence base that informed the AJCC 8th edition revision (refs 3–5), suggesting the signal is not institution-specific. We have revised the Discussion to note that multicenter validation with prospective ETE grading is an essential next step and have listed this as the first item in our future directions.</w:t>
      </w:r>
    </w:p>
    <w:p>
      <w:pPr>
        <w:spacing w:after="200"/>
      </w:pPr>
    </w:p>
    <w:p>
      <w:pPr>
        <w:pStyle w:val="Heading2"/>
        <w:spacing w:after="120" w:before="240"/>
      </w:pPr>
      <w:r>
        <w:rPr>
          <w:rFonts w:ascii="Times New Roman" w:cs="Times New Roman" w:eastAsia="Times New Roman" w:hAnsi="Times New Roman"/>
          <w:b/>
          <w:bCs/>
          <w:sz w:val="24"/>
          <w:szCs w:val="24"/>
        </w:rPr>
        <w:t xml:space="preserve">Critique 4: Why not use Cox regression / time-to-event analysis? Binary logistic ignores time-to-recurrence information.</w:t>
      </w:r>
    </w:p>
    <w:p>
      <w:pPr>
        <w:spacing w:after="200"/>
      </w:pPr>
    </w:p>
    <w:p>
      <w:pPr>
        <w:spacing w:after="200" w:line="480"/>
      </w:pPr>
      <w:r>
        <w:rPr>
          <w:rFonts w:ascii="Times New Roman" w:cs="Times New Roman" w:eastAsia="Times New Roman" w:hAnsi="Times New Roman"/>
          <w:sz w:val="24"/>
          <w:szCs w:val="24"/>
        </w:rPr>
        <w:t xml:space="preserve">We considered and rejected time-to-event analysis for this cohort based on three empirical features of the follow-up distribution. First, 33.2% of patients (1,187/3,578) have zero recorded follow-up years. In a Cox model, these patients would be censored at time zero and contribute no risk-set information—effectively discarding one-third of the cohort without reducing bias. Second, the median follow-up among non-recurrences is only 1.03 years, and among recurrences is 4.58 years, creating a strong detection-opportunity confound: longer follow-up itself predicts event detection, violating the assumption that censoring is non-informative with respect to the outcome. This is particularly severe in the no/negative ETE subgroup, where recurrences had 8.1× longer follow-up than non-recurrences.</w:t>
      </w:r>
    </w:p>
    <w:p>
      <w:pPr>
        <w:spacing w:after="200" w:line="480"/>
      </w:pPr>
      <w:r>
        <w:rPr>
          <w:rFonts w:ascii="Times New Roman" w:cs="Times New Roman" w:eastAsia="Times New Roman" w:hAnsi="Times New Roman"/>
          <w:sz w:val="24"/>
          <w:szCs w:val="24"/>
        </w:rPr>
        <w:t xml:space="preserve">Third, the proportional hazards assumption—that the hazard ratio between ETE groups is constant over time—is likely violated given the different recurrence kinetics of microscopic and gross ETE. Early recurrences may be driven by residual disease (favoring gross ETE), while late recurrences may reflect de novo events with different risk factor profiles.</w:t>
      </w:r>
    </w:p>
    <w:p>
      <w:pPr>
        <w:spacing w:after="200" w:line="480"/>
      </w:pPr>
      <w:r>
        <w:rPr>
          <w:rFonts w:ascii="Times New Roman" w:cs="Times New Roman" w:eastAsia="Times New Roman" w:hAnsi="Times New Roman"/>
          <w:sz w:val="24"/>
          <w:szCs w:val="24"/>
        </w:rPr>
        <w:t xml:space="preserve">We acknowledge that binary logistic regression sacrifices time-to-event information and cannot estimate hazard rates or median recurrence-free survival. However, it provides a valid and interpretable estimate of the probability of any event during the available observation window—a clinically relevant quantity for a staging-validation study. Our sensitivity analyses (eTable 2) demonstrate stability of the primary estimate when the follow-up window is restricted, providing indirect evidence that the binary approach captures a genuine association rather than a time-dependent artifact. We have added a dedicated paragraph on this rationale in the revised Discussion.</w:t>
      </w:r>
    </w:p>
    <w:p>
      <w:pPr>
        <w:spacing w:after="200"/>
      </w:pPr>
    </w:p>
    <w:p>
      <w:pPr>
        <w:pStyle w:val="Heading2"/>
        <w:spacing w:after="120" w:before="240"/>
      </w:pPr>
      <w:r>
        <w:rPr>
          <w:rFonts w:ascii="Times New Roman" w:cs="Times New Roman" w:eastAsia="Times New Roman" w:hAnsi="Times New Roman"/>
          <w:b/>
          <w:bCs/>
          <w:sz w:val="24"/>
          <w:szCs w:val="24"/>
        </w:rPr>
        <w:t xml:space="preserve">Critique 5: Pre-operative imaging (CT) correlation is absent. Can you comment on the clinical relevance without knowing whether gross ETE was detectable pre-operatively?</w:t>
      </w:r>
    </w:p>
    <w:p>
      <w:pPr>
        <w:spacing w:after="200"/>
      </w:pPr>
    </w:p>
    <w:p>
      <w:pPr>
        <w:spacing w:after="200" w:line="480"/>
      </w:pPr>
      <w:r>
        <w:rPr>
          <w:rFonts w:ascii="Times New Roman" w:cs="Times New Roman" w:eastAsia="Times New Roman" w:hAnsi="Times New Roman"/>
          <w:sz w:val="24"/>
          <w:szCs w:val="24"/>
        </w:rPr>
        <w:t xml:space="preserve">We appreciate this observation and agree that pre-operative CT ETE assessment variables are not available in our dataset, which we flag as a data gap in the manuscript. However, we believe this limitation is partially mitigated by the external evidence we synthesize from a systematic review of 12 CT studies (ref 6), which provides the imaging performance context: CT sensitivity for gross ETE is approximately 80% with structured criteria, while sensitivity for microscopic ETE is approximately 50%. Specificity for both subtypes is consistently high (85–98%).</w:t>
      </w:r>
    </w:p>
    <w:p>
      <w:pPr>
        <w:spacing w:after="200" w:line="480"/>
      </w:pPr>
      <w:r>
        <w:rPr>
          <w:rFonts w:ascii="Times New Roman" w:cs="Times New Roman" w:eastAsia="Times New Roman" w:hAnsi="Times New Roman"/>
          <w:sz w:val="24"/>
          <w:szCs w:val="24"/>
        </w:rPr>
        <w:t xml:space="preserve">This evidence allows us to contextualize our pathology-based findings clinically. Since gross ETE—the subtype that independently predicts recurrence in our data—is also the subtype that CT can detect with reasonable sensitivity, there is a coherent clinical pathway: pre-operative CT identifies gross ETE, gross ETE triggers T3b staging and informs surgical extent (strap-muscle resection), and post-operative pathology confirms the classification. Conversely, microscopic ETE—which our data show does not independently predict recurrence—is also the subtype that CT cannot reliably detect, meaning its omission from staging criteria avoids a category that is both prognostically uninformative and diagnostically unreliable.</w:t>
      </w:r>
    </w:p>
    <w:p>
      <w:pPr>
        <w:spacing w:after="200" w:line="480"/>
      </w:pPr>
      <w:r>
        <w:rPr>
          <w:rFonts w:ascii="Times New Roman" w:cs="Times New Roman" w:eastAsia="Times New Roman" w:hAnsi="Times New Roman"/>
          <w:sz w:val="24"/>
          <w:szCs w:val="24"/>
        </w:rPr>
        <w:t xml:space="preserve">Future studies linking structured pre-operative CT reports to pathologic ETE grading and recurrence outcomes within the same cohort would close this evidence gap. In particular, assessing whether the combination of imaging and pathologic ETE classification provides incremental prognostic value beyond pathology alone—and whether emerging radiomics-based approaches (AUC 0.78–0.84) can bridge the sensitivity gap for gross ETE—represents a high-priority research direction that we have added to our revised Discussion.</w:t>
      </w:r>
    </w:p>
    <w:p>
      <w:r>
        <w:br w:type="page"/>
      </w:r>
    </w:p>
    <w:p>
      <w:pPr>
        <w:pStyle w:val="Heading1"/>
        <w:spacing w:after="160" w:before="360"/>
      </w:pPr>
      <w:r>
        <w:rPr>
          <w:rFonts w:ascii="Times New Roman" w:cs="Times New Roman" w:eastAsia="Times New Roman" w:hAnsi="Times New Roman"/>
          <w:b/>
          <w:bCs/>
          <w:sz w:val="28"/>
          <w:szCs w:val="28"/>
        </w:rPr>
        <w:t xml:space="preserve">RECOMMENDED HIGH-YIELD SENSITIVITY ANALYSIS</w:t>
      </w:r>
    </w:p>
    <w:p>
      <w:pPr>
        <w:spacing w:after="200"/>
      </w:pPr>
    </w:p>
    <w:p>
      <w:pPr>
        <w:pStyle w:val="Heading2"/>
        <w:spacing w:after="120" w:before="240"/>
      </w:pPr>
      <w:r>
        <w:rPr>
          <w:rFonts w:ascii="Times New Roman" w:cs="Times New Roman" w:eastAsia="Times New Roman" w:hAnsi="Times New Roman"/>
          <w:b/>
          <w:bCs/>
          <w:sz w:val="24"/>
          <w:szCs w:val="24"/>
        </w:rPr>
        <w:t xml:space="preserve">Analysis: Exclusion of Zero-Follow-Up Patients (Implemented)</w:t>
      </w:r>
    </w:p>
    <w:p>
      <w:pPr>
        <w:spacing w:after="200"/>
      </w:pPr>
    </w:p>
    <w:p>
      <w:pPr>
        <w:spacing w:after="200" w:line="480"/>
      </w:pPr>
      <w:r>
        <w:rPr>
          <w:rFonts w:ascii="Times New Roman" w:cs="Times New Roman" w:eastAsia="Times New Roman" w:hAnsi="Times New Roman"/>
          <w:b/>
          <w:bCs/>
          <w:sz w:val="24"/>
          <w:szCs w:val="24"/>
        </w:rPr>
        <w:t xml:space="preserve">Rationale: </w:t>
      </w:r>
      <w:r>
        <w:rPr>
          <w:rFonts w:ascii="Times New Roman" w:cs="Times New Roman" w:eastAsia="Times New Roman" w:hAnsi="Times New Roman"/>
          <w:sz w:val="24"/>
          <w:szCs w:val="24"/>
        </w:rPr>
        <w:t xml:space="preserve">The 1,187 patients (33.2%) with zero follow-up years contribute denominator without contributing events (only 1 had a path-proven recurrence). Their inclusion could introduce bias if zero follow-up is non-randomly distributed across ETE groups—and indeed it is: 37.9% of microscopic-ETE patients have zero follow-up vs 23.4% of gross ETE. Excluding them tests whether the primary model’s conclusions depend on this unbalanced dilution.</w:t>
      </w:r>
    </w:p>
    <w:p>
      <w:pPr>
        <w:spacing w:after="100" w:before="200"/>
      </w:pPr>
      <w:r>
        <w:rPr>
          <w:rFonts w:ascii="Times New Roman" w:cs="Times New Roman" w:eastAsia="Times New Roman" w:hAnsi="Times New Roman"/>
          <w:b/>
          <w:bCs/>
          <w:i/>
          <w:iCs/>
          <w:sz w:val="24"/>
          <w:szCs w:val="24"/>
        </w:rPr>
        <w:t xml:space="preserve">Results: Follow-up &gt; 0 years (n=2,391; 104 events)</w:t>
      </w:r>
    </w:p>
    <w:p>
      <w:pPr>
        <w:spacing w:after="200" w:line="480"/>
      </w:pPr>
      <w:r>
        <w:rPr>
          <w:rFonts w:ascii="Times New Roman" w:cs="Times New Roman" w:eastAsia="Times New Roman" w:hAnsi="Times New Roman"/>
          <w:sz w:val="24"/>
          <w:szCs w:val="24"/>
        </w:rPr>
        <w:t xml:space="preserve">Distribution: No/negative n=43, Microscopic n=1,466, Gross n=882. Crude rates: No/neg 7.0% (3/43), Microscopic 3.0% (44/1,466), Gross 6.5% (57/882). Primary model: gross-vs-micro aOR 1.79 (95% CI 1.17–2.72, p=0.007); no/neg-vs-micro aOR 2.46 (0.72–8.42, p=0.150). Other notable coefficients: female sex becomes significant (aOR 0.62, p=0.027), FTC remains protective (aOR 0.41, p=0.028), vascular focal remains significant (aOR 2.29, p=0.027).</w:t>
      </w:r>
    </w:p>
    <w:p>
      <w:pPr>
        <w:spacing w:after="100" w:before="200"/>
      </w:pPr>
      <w:r>
        <w:rPr>
          <w:rFonts w:ascii="Times New Roman" w:cs="Times New Roman" w:eastAsia="Times New Roman" w:hAnsi="Times New Roman"/>
          <w:b/>
          <w:bCs/>
          <w:i/>
          <w:iCs/>
          <w:sz w:val="24"/>
          <w:szCs w:val="24"/>
        </w:rPr>
        <w:t xml:space="preserve">Results: Follow-up ≥ 1 year (n=1,830; 86 events)</w:t>
      </w:r>
    </w:p>
    <w:p>
      <w:pPr>
        <w:spacing w:after="200" w:line="480"/>
      </w:pPr>
      <w:r>
        <w:rPr>
          <w:rFonts w:ascii="Times New Roman" w:cs="Times New Roman" w:eastAsia="Times New Roman" w:hAnsi="Times New Roman"/>
          <w:sz w:val="24"/>
          <w:szCs w:val="24"/>
        </w:rPr>
        <w:t xml:space="preserve">Distribution: No/negative n=38, Microscopic n=1,096, Gross n=696. Crude rates: No/neg 7.9% (3/38), Microscopic 2.8% (31/1,096), Gross 7.5% (52/696). Primary model: gross-vs-micro aOR 2.10 (95% CI 1.30–3.39, p=0.002); N1b reaches significance (aOR 3.88, 95% CI 1.34–11.25, p=0.013); vascular extensive now significant (aOR 2.86, p=0.036). The strengthening of the gross-ETE signal with more restrictive follow-up exclusion is consistent with reduced dilution from non-informative zero-event observations.</w:t>
      </w:r>
    </w:p>
    <w:p>
      <w:pPr>
        <w:spacing w:after="100" w:before="200"/>
      </w:pPr>
      <w:r>
        <w:rPr>
          <w:rFonts w:ascii="Times New Roman" w:cs="Times New Roman" w:eastAsia="Times New Roman" w:hAnsi="Times New Roman"/>
          <w:b/>
          <w:bCs/>
          <w:i/>
          <w:iCs/>
          <w:sz w:val="24"/>
          <w:szCs w:val="24"/>
        </w:rPr>
        <w:t xml:space="preserve">Interpretation</w:t>
      </w:r>
    </w:p>
    <w:p>
      <w:pPr>
        <w:spacing w:after="200" w:line="480"/>
      </w:pPr>
      <w:r>
        <w:rPr>
          <w:rFonts w:ascii="Times New Roman" w:cs="Times New Roman" w:eastAsia="Times New Roman" w:hAnsi="Times New Roman"/>
          <w:sz w:val="24"/>
          <w:szCs w:val="24"/>
        </w:rPr>
        <w:t xml:space="preserve">The gross-vs-microscopic signal is preserved and strengthened across both sensitivity thresholds (aOR 1.77 → 1.79 → 2.10 as the follow-up floor increases from 0 to &gt;0 to ≥1 year). This demonstrates that: (a) the primary model estimate is conservative, not inflated; (b) zero-follow-up patients are not driving the result; and (c) the apparent protective effect of microscopic ETE relative to no/negative ETE is entirely a function of follow-up-dependent ascertainment, not biology. The emergence of N1b as significant in the ≥1-year subset (aOR 3.88) suggests this variable may be under-detected in the full cohort due to short follow-up masking late nodal recurrences.</w:t>
      </w:r>
    </w:p>
    <w:p>
      <w:pPr>
        <w:spacing w:after="100" w:before="200"/>
      </w:pPr>
      <w:r>
        <w:rPr>
          <w:rFonts w:ascii="Times New Roman" w:cs="Times New Roman" w:eastAsia="Times New Roman" w:hAnsi="Times New Roman"/>
          <w:b/>
          <w:bCs/>
          <w:i/>
          <w:iCs/>
          <w:sz w:val="24"/>
          <w:szCs w:val="24"/>
        </w:rPr>
        <w:t xml:space="preserve">Additional Sensitivity Analysis: Considered but Not Implemented</w:t>
      </w:r>
    </w:p>
    <w:p>
      <w:pPr>
        <w:spacing w:after="200" w:line="480"/>
      </w:pPr>
      <w:r>
        <w:rPr>
          <w:rFonts w:ascii="Times New Roman" w:cs="Times New Roman" w:eastAsia="Times New Roman" w:hAnsi="Times New Roman"/>
          <w:b/>
          <w:bCs/>
          <w:sz w:val="24"/>
          <w:szCs w:val="24"/>
        </w:rPr>
        <w:t xml:space="preserve">Propensity-score matched no/negative vs microscopic comparison: </w:t>
      </w:r>
      <w:r>
        <w:rPr>
          <w:rFonts w:ascii="Times New Roman" w:cs="Times New Roman" w:eastAsia="Times New Roman" w:hAnsi="Times New Roman"/>
          <w:sz w:val="24"/>
          <w:szCs w:val="24"/>
        </w:rPr>
        <w:t xml:space="preserve">Matching on age, sex, tumor size, N stage, histology, and LVI would yield approximately 60–65 matched pairs (limited by the n=68 no/negative group). With only 3 path-proven events in no/negative ETE, the matched analysis would have fewer than 2 expected events per arm, producing hopelessly imprecise odds ratios. We therefore recommend this analysis only if the no/negative subgroup can be expanded through multicenter collaboration (target n≥200 with ≥10 events). We describe this as a future direction in the manuscript.</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M044 ETE — Manuscript Supplement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2026-05-04T19:47:01.396Z</dcterms:created>
  <dcterms:modified xsi:type="dcterms:W3CDTF">2026-05-04T19:47:01.396Z</dcterms:modified>
</cp:coreProperties>
</file>

<file path=docProps/custom.xml><?xml version="1.0" encoding="utf-8"?>
<Properties xmlns="http://schemas.openxmlformats.org/officeDocument/2006/custom-properties" xmlns:vt="http://schemas.openxmlformats.org/officeDocument/2006/docPropsVTypes"/>
</file>