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2"/>
          <w:szCs w:val="32"/>
        </w:rPr>
        <w:t xml:space="preserve">Racial Disparities in ACR TI-RADS Performance Among 3,375 Operative Thyroid Patients</w:t>
      </w:r>
    </w:p>
    <w:p>
      <w:pPr>
        <w:spacing w:after="80"/>
        <w:jc w:val="center"/>
      </w:pPr>
      <w:r>
        <w:rPr>
          <w:rFonts w:ascii="Arial" w:cs="Arial" w:eastAsia="Arial" w:hAnsi="Arial"/>
          <w:i/>
          <w:iCs/>
          <w:sz w:val="22"/>
          <w:szCs w:val="22"/>
        </w:rPr>
        <w:t xml:space="preserve">Manuscript M048 - Draft Outline</w:t>
      </w:r>
    </w:p>
    <w:p>
      <w:pPr>
        <w:spacing w:after="240"/>
        <w:jc w:val="center"/>
      </w:pPr>
      <w:r>
        <w:rPr>
          <w:rFonts w:ascii="Arial" w:cs="Arial" w:eastAsia="Arial" w:hAnsi="Arial"/>
          <w:sz w:val="22"/>
          <w:szCs w:val="22"/>
        </w:rPr>
        <w:t xml:space="preserve">Logan Glosser, MD - Emory University - Draft v3.2 - 2026-05-05</w:t>
      </w:r>
    </w:p>
    <w:p>
      <w:pPr>
        <w:spacing w:after="120"/>
      </w:pPr>
      <w:r>
        <w:rPr>
          <w:rFonts w:ascii="Arial" w:cs="Arial" w:eastAsia="Arial" w:hAnsi="Arial"/>
          <w:i/>
          <w:iCs/>
          <w:color w:val="666666"/>
        </w:rPr>
        <w:t xml:space="preserve">This is a numbers-and-structure outline. Senior author should fill in narrative prose; placeholders are clearly marked [TO WRITE]. All numbers below are computed from the locked v3.2 dataset and have been independently recomputed at 0% relative difference.</w:t>
      </w:r>
    </w:p>
    <w:p>
      <w:pPr>
        <w:pStyle w:val="Heading1"/>
        <w:spacing w:after="120" w:before="240"/>
      </w:pPr>
      <w:r>
        <w:rPr>
          <w:rFonts w:ascii="Arial" w:cs="Arial" w:eastAsia="Arial" w:hAnsi="Arial"/>
          <w:b/>
          <w:bCs/>
          <w:sz w:val="28"/>
          <w:szCs w:val="28"/>
        </w:rPr>
        <w:t xml:space="preserve">Abstract (skeleton)</w:t>
      </w:r>
    </w:p>
    <w:p>
      <w:pPr>
        <w:spacing w:after="80"/>
      </w:pPr>
      <w:r>
        <w:rPr>
          <w:rFonts w:ascii="Arial" w:cs="Arial" w:eastAsia="Arial" w:hAnsi="Arial"/>
          <w:b/>
          <w:bCs/>
        </w:rPr>
        <w:t xml:space="preserve">Background.</w:t>
      </w:r>
    </w:p>
    <w:p>
      <w:pPr>
        <w:spacing w:after="120"/>
      </w:pPr>
      <w:r>
        <w:rPr>
          <w:rFonts w:ascii="Arial" w:cs="Arial" w:eastAsia="Arial" w:hAnsi="Arial"/>
        </w:rPr>
        <w:t xml:space="preserve">[TO WRITE: 2-3 sentences on the documented racial disparities in thyroid cancer outcomes and the unanswered question of whether ACR TI-RADS performs equivalently across self-identified racial groups. Frame the gap: prior validation cohorts have been predominantly White, and TI-RADS calibration in a Black-majority operative cohort has not been characterised.]</w:t>
      </w:r>
    </w:p>
    <w:p>
      <w:pPr>
        <w:spacing w:after="80"/>
      </w:pPr>
      <w:r>
        <w:rPr>
          <w:rFonts w:ascii="Arial" w:cs="Arial" w:eastAsia="Arial" w:hAnsi="Arial"/>
          <w:b/>
          <w:bCs/>
        </w:rPr>
        <w:t xml:space="preserve">Methods.</w:t>
      </w:r>
    </w:p>
    <w:p>
      <w:pPr>
        <w:spacing w:after="120"/>
      </w:pPr>
      <w:r>
        <w:rPr>
          <w:rFonts w:ascii="Arial" w:cs="Arial" w:eastAsia="Arial" w:hAnsi="Arial"/>
        </w:rPr>
        <w:t xml:space="preserve">Single-institution operative thyroid cohort 2000-2025 (full cohort n=3,375; analytic Black/White/Asian cohort n=3,121; 49.2% Black, 44.3% White, 6.5% Asian within the analytic cohort). Logistic regression of pathology-confirmed malignancy on race, with progressive adjustment for ACR TI-RADS, nodule burden, molecular and nuclear-medicine workup, FNA pattern and Bethesda category, demographics, and procedure type. Pre-specified Bethesda-stratified analyses, race-by-TR interaction tests, 1,000-replicate bootstrap mediation, seven sensitivity arms, and a disparity-direction quadrant comparing observed cell ROM to ACR-published references.</w:t>
      </w:r>
    </w:p>
    <w:p>
      <w:pPr>
        <w:spacing w:after="80"/>
      </w:pPr>
      <w:r>
        <w:rPr>
          <w:rFonts w:ascii="Arial" w:cs="Arial" w:eastAsia="Arial" w:hAnsi="Arial"/>
          <w:b/>
          <w:bCs/>
        </w:rPr>
        <w:t xml:space="preserve">Results.</w:t>
      </w:r>
    </w:p>
    <w:p>
      <w:pPr>
        <w:spacing w:after="120"/>
      </w:pPr>
      <w:r>
        <w:rPr>
          <w:rFonts w:ascii="Arial" w:cs="Arial" w:eastAsia="Arial" w:hAnsi="Arial"/>
        </w:rPr>
        <w:t xml:space="preserve">Black patients had substantially lower odds of malignancy than White patients in the operative cohort (M0 OR 0.32 (0.27-0.37)); the disparity narrowed only modestly with full adjustment (M6 OR 0.44 (0.37-0.53), p&lt;0.0001). Asian patients trended toward higher odds in unadjusted analysis (M0 OR 1.32) but the effect attenuated to non-significance in the fully adjusted model (M6 OR 1.16 (0.80-1.69), p=0.4242). Within-Bethesda-stratum analyses revealed a striking calibration divergence at cytologically benign Bethesda II: Black patients ~half the malignancy rate of White (OR 0.49, p&lt;0.001) and Asian patients ~2.3-fold higher (OR 2.32, p=0.045). The disparity-direction quadrant flagged Black-TR4 as an under-referral signature: cell ROM 34.3% (vs ACR-published 18-28%), mean tumor size 2.81 cm, ETE in 94.4%.</w:t>
      </w:r>
    </w:p>
    <w:p>
      <w:pPr>
        <w:spacing w:after="80"/>
      </w:pPr>
      <w:r>
        <w:rPr>
          <w:rFonts w:ascii="Arial" w:cs="Arial" w:eastAsia="Arial" w:hAnsi="Arial"/>
          <w:b/>
          <w:bCs/>
        </w:rPr>
        <w:t xml:space="preserve">Conclusions.</w:t>
      </w:r>
    </w:p>
    <w:p>
      <w:pPr>
        <w:spacing w:after="120"/>
      </w:pPr>
      <w:r>
        <w:rPr>
          <w:rFonts w:ascii="Arial" w:cs="Arial" w:eastAsia="Arial" w:hAnsi="Arial"/>
        </w:rPr>
        <w:t xml:space="preserve">[TO WRITE: Tie back to clinical implication. Two competing framings to consider with senior author: (1) selection / pathway-routing bias driving Black operative cohort to lower-acuity disease, vs (2) residual TI-RADS calibration differences by race. The Black-TR4 under-referral signature combined with M6 OR&lt;1 favours interpretation (1); the Asian Bethesda II finding suggests interpretation (2) may also contribute.]</w:t>
      </w:r>
    </w:p>
    <w:p>
      <w:r>
        <w:br w:type="page"/>
      </w:r>
    </w:p>
    <w:p>
      <w:pPr>
        <w:pStyle w:val="Heading1"/>
        <w:spacing w:after="120" w:before="240"/>
      </w:pPr>
      <w:r>
        <w:rPr>
          <w:rFonts w:ascii="Arial" w:cs="Arial" w:eastAsia="Arial" w:hAnsi="Arial"/>
          <w:b/>
          <w:bCs/>
          <w:sz w:val="28"/>
          <w:szCs w:val="28"/>
        </w:rPr>
        <w:t xml:space="preserve">Introduction</w:t>
      </w:r>
    </w:p>
    <w:p>
      <w:pPr>
        <w:pStyle w:val="Heading3"/>
        <w:spacing w:after="80" w:before="160"/>
      </w:pPr>
      <w:r>
        <w:rPr>
          <w:rFonts w:ascii="Arial" w:cs="Arial" w:eastAsia="Arial" w:hAnsi="Arial"/>
          <w:b/>
          <w:bCs/>
          <w:sz w:val="22"/>
          <w:szCs w:val="22"/>
        </w:rPr>
        <w:t xml:space="preserve">Background</w:t>
      </w:r>
    </w:p>
    <w:p>
      <w:pPr>
        <w:pStyle w:val="ListParagraph"/>
        <w:numPr>
          <w:ilvl w:val="0"/>
          <w:numId w:val="2"/>
        </w:numPr>
      </w:pPr>
      <w:r>
        <w:rPr>
          <w:rFonts w:ascii="Arial" w:cs="Arial" w:eastAsia="Arial" w:hAnsi="Arial"/>
        </w:rPr>
        <w:t xml:space="preserve">Thyroid cancer disparities by race-ethnicity are well documented in incidence, stage at presentation, and survival; literature anchors needed [TO ADD CITATIONS].</w:t>
      </w:r>
    </w:p>
    <w:p>
      <w:pPr>
        <w:pStyle w:val="ListParagraph"/>
        <w:numPr>
          <w:ilvl w:val="0"/>
          <w:numId w:val="2"/>
        </w:numPr>
      </w:pPr>
      <w:r>
        <w:rPr>
          <w:rFonts w:ascii="Arial" w:cs="Arial" w:eastAsia="Arial" w:hAnsi="Arial"/>
        </w:rPr>
        <w:t xml:space="preserve">ACR TI-RADS (2017) is the dominant US imaging risk-stratification system in the United States; original validation cohorts were predominantly White. Calibration across self-identified racial groups in operative cohorts has not been characterised.</w:t>
      </w:r>
    </w:p>
    <w:p>
      <w:pPr>
        <w:pStyle w:val="ListParagraph"/>
        <w:numPr>
          <w:ilvl w:val="0"/>
          <w:numId w:val="2"/>
        </w:numPr>
      </w:pPr>
      <w:r>
        <w:rPr>
          <w:rFonts w:ascii="Arial" w:cs="Arial" w:eastAsia="Arial" w:hAnsi="Arial"/>
        </w:rPr>
        <w:t xml:space="preserve">The Bethesda system applies cytology grading downstream of imaging-driven FNA decisions; race-stratified Bethesda calibration has not been described in operative thyroid series.</w:t>
      </w:r>
    </w:p>
    <w:p>
      <w:pPr>
        <w:pStyle w:val="Heading3"/>
        <w:spacing w:after="80" w:before="160"/>
      </w:pPr>
      <w:r>
        <w:rPr>
          <w:rFonts w:ascii="Arial" w:cs="Arial" w:eastAsia="Arial" w:hAnsi="Arial"/>
          <w:b/>
          <w:bCs/>
          <w:sz w:val="22"/>
          <w:szCs w:val="22"/>
        </w:rPr>
        <w:t xml:space="preserve">Knowledge gap</w:t>
      </w:r>
    </w:p>
    <w:p>
      <w:pPr>
        <w:pStyle w:val="ListParagraph"/>
        <w:numPr>
          <w:ilvl w:val="0"/>
          <w:numId w:val="2"/>
        </w:numPr>
      </w:pPr>
      <w:r>
        <w:rPr>
          <w:rFonts w:ascii="Arial" w:cs="Arial" w:eastAsia="Arial" w:hAnsi="Arial"/>
        </w:rPr>
        <w:t xml:space="preserve">Whether the predictive performance of ACR TI-RADS is equivalent across racial groups, after adjustment for comorbidity, multinodular workup, molecular and nuclear-medicine access, FNA pattern, and demographic factors.</w:t>
      </w:r>
    </w:p>
    <w:p>
      <w:pPr>
        <w:pStyle w:val="ListParagraph"/>
        <w:numPr>
          <w:ilvl w:val="0"/>
          <w:numId w:val="2"/>
        </w:numPr>
      </w:pPr>
      <w:r>
        <w:rPr>
          <w:rFonts w:ascii="Arial" w:cs="Arial" w:eastAsia="Arial" w:hAnsi="Arial"/>
        </w:rPr>
        <w:t xml:space="preserve">Whether downstream Bethesda-cytology-stratified malignancy rates align across races at each cytology grade.</w:t>
      </w:r>
    </w:p>
    <w:p>
      <w:pPr>
        <w:pStyle w:val="Heading3"/>
        <w:spacing w:after="80" w:before="160"/>
      </w:pPr>
      <w:r>
        <w:rPr>
          <w:rFonts w:ascii="Arial" w:cs="Arial" w:eastAsia="Arial" w:hAnsi="Arial"/>
          <w:b/>
          <w:bCs/>
          <w:sz w:val="22"/>
          <w:szCs w:val="22"/>
        </w:rPr>
        <w:t xml:space="preserve">Hypothesis</w:t>
      </w:r>
    </w:p>
    <w:p>
      <w:pPr>
        <w:spacing w:after="120"/>
      </w:pPr>
      <w:r>
        <w:rPr>
          <w:rFonts w:ascii="Arial" w:cs="Arial" w:eastAsia="Arial" w:hAnsi="Arial"/>
        </w:rPr>
        <w:t xml:space="preserve">Race-stratified malignancy odds, conditional on max ACR TI-RADS category, will differ across Black, White, and Asian patients in this 25-year, Black-majority operative cohort, with disparities concentrated at clinically actionable strata (TR4 imaging, Bethesda II cytology).</w:t>
      </w:r>
    </w:p>
    <w:p>
      <w:r>
        <w:br w:type="page"/>
      </w:r>
    </w:p>
    <w:p>
      <w:pPr>
        <w:pStyle w:val="Heading1"/>
        <w:spacing w:after="120" w:before="240"/>
      </w:pPr>
      <w:r>
        <w:rPr>
          <w:rFonts w:ascii="Arial" w:cs="Arial" w:eastAsia="Arial" w:hAnsi="Arial"/>
          <w:b/>
          <w:bCs/>
          <w:sz w:val="28"/>
          <w:szCs w:val="28"/>
        </w:rPr>
        <w:t xml:space="preserve">Methods</w:t>
      </w:r>
    </w:p>
    <w:p>
      <w:pPr>
        <w:pStyle w:val="Heading3"/>
        <w:spacing w:after="80" w:before="160"/>
      </w:pPr>
      <w:r>
        <w:rPr>
          <w:rFonts w:ascii="Arial" w:cs="Arial" w:eastAsia="Arial" w:hAnsi="Arial"/>
          <w:b/>
          <w:bCs/>
          <w:sz w:val="22"/>
          <w:szCs w:val="22"/>
        </w:rPr>
        <w:t xml:space="preserve">Cohort</w:t>
      </w:r>
    </w:p>
    <w:p>
      <w:pPr>
        <w:pStyle w:val="ListParagraph"/>
        <w:numPr>
          <w:ilvl w:val="0"/>
          <w:numId w:val="2"/>
        </w:numPr>
      </w:pPr>
      <w:r>
        <w:rPr>
          <w:rFonts w:ascii="Arial" w:cs="Arial" w:eastAsia="Arial" w:hAnsi="Arial"/>
        </w:rPr>
        <w:t xml:space="preserve">Full operative thyroid cohort 2000-2025: n=3,375 unique patients with first thyroid operation and resolvable pathology outcome (single institution, urban academic).</w:t>
      </w:r>
    </w:p>
    <w:p>
      <w:pPr>
        <w:pStyle w:val="ListParagraph"/>
        <w:numPr>
          <w:ilvl w:val="0"/>
          <w:numId w:val="2"/>
        </w:numPr>
      </w:pPr>
      <w:r>
        <w:rPr>
          <w:rFonts w:ascii="Arial" w:cs="Arial" w:eastAsia="Arial" w:hAnsi="Arial"/>
        </w:rPr>
        <w:t xml:space="preserve">Analytic cohort used in all regressions (Black/White/Asian only): n=3,121. Excludes 87 Other and 167 Unknown / Native Hawaiian / Pacific Islander patients (small N for stable race-stratified inference).</w:t>
      </w:r>
    </w:p>
    <w:p>
      <w:pPr>
        <w:pStyle w:val="ListParagraph"/>
        <w:numPr>
          <w:ilvl w:val="0"/>
          <w:numId w:val="2"/>
        </w:numPr>
      </w:pPr>
      <w:r>
        <w:rPr>
          <w:rFonts w:ascii="Arial" w:cs="Arial" w:eastAsia="Arial" w:hAnsi="Arial"/>
        </w:rPr>
        <w:t xml:space="preserve">Analytic-cohort race composition: Black 1535 (49.2%), White 1382 (44.3%), Asian 204 (6.5%).</w:t>
      </w:r>
    </w:p>
    <w:p>
      <w:pPr>
        <w:pStyle w:val="ListParagraph"/>
        <w:numPr>
          <w:ilvl w:val="0"/>
          <w:numId w:val="2"/>
        </w:numPr>
      </w:pPr>
      <w:r>
        <w:rPr>
          <w:rFonts w:ascii="Arial" w:cs="Arial" w:eastAsia="Arial" w:hAnsi="Arial"/>
        </w:rPr>
        <w:t xml:space="preserve">Median age at surgery 55 years (IQR 43-65) in the analytic cohort; full-cohort median 54 years; Asian-subgroup median 48 years. 79.9% female; 43% pathology-confirmed malignant.</w:t>
      </w:r>
    </w:p>
    <w:p>
      <w:pPr>
        <w:pStyle w:val="ListParagraph"/>
        <w:numPr>
          <w:ilvl w:val="0"/>
          <w:numId w:val="2"/>
        </w:numPr>
      </w:pPr>
      <w:r>
        <w:rPr>
          <w:rFonts w:ascii="Arial" w:cs="Arial" w:eastAsia="Arial" w:hAnsi="Arial"/>
        </w:rPr>
        <w:t xml:space="preserve">Inclusion: pre-operative ultrasound with assignable max ACR TI-RADS category 1-5 and resolvable pathology outcome. Exclusions: NHPI race code (small N), missing TI-RADS, non-thyroid primary surgery.</w:t>
      </w:r>
    </w:p>
    <w:p>
      <w:pPr>
        <w:pStyle w:val="Heading3"/>
        <w:spacing w:after="80" w:before="160"/>
      </w:pPr>
      <w:r>
        <w:rPr>
          <w:rFonts w:ascii="Arial" w:cs="Arial" w:eastAsia="Arial" w:hAnsi="Arial"/>
          <w:b/>
          <w:bCs/>
          <w:sz w:val="22"/>
          <w:szCs w:val="22"/>
        </w:rPr>
        <w:t xml:space="preserve">Variables</w:t>
      </w:r>
    </w:p>
    <w:p>
      <w:pPr>
        <w:pStyle w:val="ListParagraph"/>
        <w:numPr>
          <w:ilvl w:val="0"/>
          <w:numId w:val="2"/>
        </w:numPr>
      </w:pPr>
      <w:r>
        <w:rPr>
          <w:rFonts w:ascii="Arial" w:cs="Arial" w:eastAsia="Arial" w:hAnsi="Arial"/>
        </w:rPr>
        <w:t xml:space="preserve">Outcome: pathology-confirmed malignancy at first surgery (binary).</w:t>
      </w:r>
    </w:p>
    <w:p>
      <w:pPr>
        <w:pStyle w:val="ListParagraph"/>
        <w:numPr>
          <w:ilvl w:val="0"/>
          <w:numId w:val="2"/>
        </w:numPr>
      </w:pPr>
      <w:r>
        <w:rPr>
          <w:rFonts w:ascii="Arial" w:cs="Arial" w:eastAsia="Arial" w:hAnsi="Arial"/>
        </w:rPr>
        <w:t xml:space="preserve">Primary exposure: max ACR TI-RADS category ever recorded pre-operatively (integer 1-5).</w:t>
      </w:r>
    </w:p>
    <w:p>
      <w:pPr>
        <w:pStyle w:val="ListParagraph"/>
        <w:numPr>
          <w:ilvl w:val="0"/>
          <w:numId w:val="2"/>
        </w:numPr>
      </w:pPr>
      <w:r>
        <w:rPr>
          <w:rFonts w:ascii="Arial" w:cs="Arial" w:eastAsia="Arial" w:hAnsi="Arial"/>
        </w:rPr>
        <w:t xml:space="preserve">Effect modifier: race stratum (Black, White, Asian; White as reference throughout).</w:t>
      </w:r>
    </w:p>
    <w:p>
      <w:pPr>
        <w:pStyle w:val="ListParagraph"/>
        <w:numPr>
          <w:ilvl w:val="0"/>
          <w:numId w:val="2"/>
        </w:numPr>
      </w:pPr>
      <w:r>
        <w:rPr>
          <w:rFonts w:ascii="Arial" w:cs="Arial" w:eastAsia="Arial" w:hAnsi="Arial"/>
        </w:rPr>
        <w:t xml:space="preserve">Adjusters (M6 model): max_tr_int; nodule burden category (solitary, 2-4, 5+); had_any_genetics; had_any_nm; had_repeat_fna; n_fnas_total; Bethesda bucket (II, III, IV, V, VI, I, missing); years from first US to surgery (clipped to &gt;=0); age at surgery; sex; centred surgery year; surgery procedure type.</w:t>
      </w:r>
    </w:p>
    <w:p>
      <w:pPr>
        <w:spacing w:after="120"/>
      </w:pPr>
      <w:r>
        <w:rPr>
          <w:rFonts w:ascii="Arial" w:cs="Arial" w:eastAsia="Arial" w:hAnsi="Arial"/>
          <w:i/>
          <w:iCs/>
          <w:color w:val="666666"/>
        </w:rPr>
        <w:t xml:space="preserve">Note on dropped covariates. has_clt, has_mng, has_graves were dropped from regression formulas because the data extraction (histology_final ILIKE patterns) yielded all-zero columns in this cohort. has_niftp and has_ftump were dropped because they are perfect-separation path-diagnostic indicators that derive the outcome rather than predict it. had_any_fna was dropped because it is collinear with bethesda_bucket=='missing'. days_us_to_surg_approx was clipped to &gt;=0 (negatives are coding errors) and converted to years. surg_year was centred to its median for numerical stability.</w:t>
      </w:r>
    </w:p>
    <w:p>
      <w:pPr>
        <w:pStyle w:val="Heading3"/>
        <w:spacing w:after="80" w:before="160"/>
      </w:pPr>
      <w:r>
        <w:rPr>
          <w:rFonts w:ascii="Arial" w:cs="Arial" w:eastAsia="Arial" w:hAnsi="Arial"/>
          <w:b/>
          <w:bCs/>
          <w:sz w:val="22"/>
          <w:szCs w:val="22"/>
        </w:rPr>
        <w:t xml:space="preserve">Statistical analysis</w:t>
      </w:r>
    </w:p>
    <w:p>
      <w:pPr>
        <w:pStyle w:val="ListParagraph"/>
        <w:numPr>
          <w:ilvl w:val="0"/>
          <w:numId w:val="2"/>
        </w:numPr>
      </w:pPr>
      <w:r>
        <w:rPr>
          <w:rFonts w:ascii="Arial" w:cs="Arial" w:eastAsia="Arial" w:hAnsi="Arial"/>
        </w:rPr>
        <w:t xml:space="preserve">Adjustment cascade M0 (race only) through M6 (fully adjusted) with progressive addition of covariate blocks.</w:t>
      </w:r>
    </w:p>
    <w:p>
      <w:pPr>
        <w:pStyle w:val="ListParagraph"/>
        <w:numPr>
          <w:ilvl w:val="0"/>
          <w:numId w:val="2"/>
        </w:numPr>
      </w:pPr>
      <w:r>
        <w:rPr>
          <w:rFonts w:ascii="Arial" w:cs="Arial" w:eastAsia="Arial" w:hAnsi="Arial"/>
        </w:rPr>
        <w:t xml:space="preserve">Bethesda-stratified Model B (additive race + max_tr_int within each cytology bucket). A secondary Model B-int adds the race x max_tr_int interaction with Bonferroni correction across 4 strata x 2 race contrasts.</w:t>
      </w:r>
    </w:p>
    <w:p>
      <w:pPr>
        <w:pStyle w:val="ListParagraph"/>
        <w:numPr>
          <w:ilvl w:val="0"/>
          <w:numId w:val="2"/>
        </w:numPr>
      </w:pPr>
      <w:r>
        <w:rPr>
          <w:rFonts w:ascii="Arial" w:cs="Arial" w:eastAsia="Arial" w:hAnsi="Arial"/>
        </w:rPr>
        <w:t xml:space="preserve">Patient-grain Model F = M6. Nodule-grain Model F-Nodule fits the same controls on the per-nodule frame with cluster-robust SE on patient ID.</w:t>
      </w:r>
    </w:p>
    <w:p>
      <w:pPr>
        <w:pStyle w:val="ListParagraph"/>
        <w:numPr>
          <w:ilvl w:val="0"/>
          <w:numId w:val="2"/>
        </w:numPr>
      </w:pPr>
      <w:r>
        <w:rPr>
          <w:rFonts w:ascii="Arial" w:cs="Arial" w:eastAsia="Arial" w:hAnsi="Arial"/>
        </w:rPr>
        <w:t xml:space="preserve">Mediation: product-of-coefficients indirect effect, 1,000 bootstrap replicates per (mediator, race target) pair. Mediators: n_nodules_total, had_any_genetics, had_any_nm, n_fnas_total, days_us_to_surg_approx. Central tendency reported as the median of the bootstrap distribution; a winsorised mean (clip 1st/99th percentile) is reported alongside for robustness. 95% percentile bootstrap CIs.</w:t>
      </w:r>
    </w:p>
    <w:p>
      <w:pPr>
        <w:pStyle w:val="ListParagraph"/>
        <w:numPr>
          <w:ilvl w:val="0"/>
          <w:numId w:val="2"/>
        </w:numPr>
      </w:pPr>
      <w:r>
        <w:rPr>
          <w:rFonts w:ascii="Arial" w:cs="Arial" w:eastAsia="Arial" w:hAnsi="Arial"/>
        </w:rPr>
        <w:t xml:space="preserve">Seven sensitivity arms: post-2017 surgeries; solitary-nodule patients; genetics-tested patients; no-CLT subgroup (kept for spec compatibility); drop Bethesda VI; TR4-only; had-FNA-only.</w:t>
      </w:r>
    </w:p>
    <w:p>
      <w:pPr>
        <w:pStyle w:val="ListParagraph"/>
        <w:numPr>
          <w:ilvl w:val="0"/>
          <w:numId w:val="2"/>
        </w:numPr>
      </w:pPr>
      <w:r>
        <w:rPr>
          <w:rFonts w:ascii="Arial" w:cs="Arial" w:eastAsia="Arial" w:hAnsi="Arial"/>
        </w:rPr>
        <w:t xml:space="preserve">Disparity-direction quadrant: within each malignant (race, max_tr_int) cell, compare observed cell ROM to ACR-published mid- and high-suspicion reference ranges; flag cells whose observed ROM substantially exceeds reference (under-referral signature) or falls below (over-referral signature).</w:t>
      </w:r>
    </w:p>
    <w:p>
      <w:pPr>
        <w:pStyle w:val="ListParagraph"/>
        <w:numPr>
          <w:ilvl w:val="0"/>
          <w:numId w:val="2"/>
        </w:numPr>
      </w:pPr>
      <w:r>
        <w:rPr>
          <w:rFonts w:ascii="Arial" w:cs="Arial" w:eastAsia="Arial" w:hAnsi="Arial"/>
        </w:rPr>
        <w:t xml:space="preserve">Independent recompute: a second script re-fits the full M6 model from the patient CSV (no intermediate tables) and asserts agreement with the cascade-stored OR within 2% relative tolerance for Black, Asian, attenuation %, Asian TR5 mean tumor size, and Bethesda IV Black OR. All 5 assertions PASS at 0.0% relative difference for the v3.2 final run.</w:t>
      </w:r>
    </w:p>
    <w:p>
      <w:pPr>
        <w:pStyle w:val="Heading3"/>
        <w:spacing w:after="80" w:before="160"/>
      </w:pPr>
      <w:r>
        <w:rPr>
          <w:rFonts w:ascii="Arial" w:cs="Arial" w:eastAsia="Arial" w:hAnsi="Arial"/>
          <w:b/>
          <w:bCs/>
          <w:sz w:val="22"/>
          <w:szCs w:val="22"/>
        </w:rPr>
        <w:t xml:space="preserve">Software and reproducibility</w:t>
      </w:r>
    </w:p>
    <w:p>
      <w:pPr>
        <w:pStyle w:val="ListParagraph"/>
        <w:numPr>
          <w:ilvl w:val="0"/>
          <w:numId w:val="2"/>
        </w:numPr>
      </w:pPr>
      <w:r>
        <w:rPr>
          <w:rFonts w:ascii="Arial" w:cs="Arial" w:eastAsia="Arial" w:hAnsi="Arial"/>
        </w:rPr>
        <w:t xml:space="preserve">Python 3.14 with statsmodels 0.14.6, pandas 2.3.3, duckdb 1.5.2.</w:t>
      </w:r>
    </w:p>
    <w:p>
      <w:pPr>
        <w:pStyle w:val="ListParagraph"/>
        <w:numPr>
          <w:ilvl w:val="0"/>
          <w:numId w:val="2"/>
        </w:numPr>
      </w:pPr>
      <w:r>
        <w:rPr>
          <w:rFonts w:ascii="Arial" w:cs="Arial" w:eastAsia="Arial" w:hAnsi="Arial"/>
        </w:rPr>
        <w:t xml:space="preserve">MotherDuck thyroid_canonical_publication_v1_0 @ release tag pub_v1_1 (2026-05-04).</w:t>
      </w:r>
    </w:p>
    <w:p>
      <w:pPr>
        <w:pStyle w:val="ListParagraph"/>
        <w:numPr>
          <w:ilvl w:val="0"/>
          <w:numId w:val="2"/>
        </w:numPr>
      </w:pPr>
      <w:r>
        <w:rPr>
          <w:rFonts w:ascii="Arial" w:cs="Arial" w:eastAsia="Arial" w:hAnsi="Arial"/>
        </w:rPr>
        <w:t xml:space="preserve">Migration mig_317b signed off 2026-05-05; final git SHA 45d54d4 on origin/main.</w:t>
      </w:r>
    </w:p>
    <w:p>
      <w:pPr>
        <w:pStyle w:val="ListParagraph"/>
        <w:numPr>
          <w:ilvl w:val="0"/>
          <w:numId w:val="2"/>
        </w:numPr>
      </w:pPr>
      <w:r>
        <w:rPr>
          <w:rFonts w:ascii="Arial" w:cs="Arial" w:eastAsia="Arial" w:hAnsi="Arial"/>
        </w:rPr>
        <w:t xml:space="preserve">Bootstrap seed=42 throughout.</w:t>
      </w:r>
    </w:p>
    <w:p>
      <w:r>
        <w:br w:type="page"/>
      </w:r>
    </w:p>
    <w:p>
      <w:pPr>
        <w:pStyle w:val="Heading1"/>
        <w:spacing w:after="120" w:before="240"/>
      </w:pPr>
      <w:r>
        <w:rPr>
          <w:rFonts w:ascii="Arial" w:cs="Arial" w:eastAsia="Arial" w:hAnsi="Arial"/>
          <w:b/>
          <w:bCs/>
          <w:sz w:val="28"/>
          <w:szCs w:val="28"/>
        </w:rPr>
        <w:t xml:space="preserve">Results</w:t>
      </w:r>
    </w:p>
    <w:p>
      <w:pPr>
        <w:pStyle w:val="Heading2"/>
        <w:spacing w:after="100" w:before="200"/>
      </w:pPr>
      <w:r>
        <w:rPr>
          <w:rFonts w:ascii="Arial" w:cs="Arial" w:eastAsia="Arial" w:hAnsi="Arial"/>
          <w:b/>
          <w:bCs/>
          <w:sz w:val="24"/>
          <w:szCs w:val="24"/>
        </w:rPr>
        <w:t xml:space="preserve">Adjustment cascade</w:t>
      </w:r>
    </w:p>
    <w:p>
      <w:pPr>
        <w:spacing w:after="120"/>
      </w:pPr>
      <w:r>
        <w:rPr>
          <w:rFonts w:ascii="Arial" w:cs="Arial" w:eastAsia="Arial" w:hAnsi="Arial"/>
        </w:rPr>
        <w:t xml:space="preserve">Race odds ratios for malignancy (vs White reference) across the M0 to M6 cascade are shown in Table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Black OR (95% CI, p)</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Asian OR (95% CI, p)</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M0 race only</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0.317 (0.27-0.37), p&lt;0.0001</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1.323 (0.98-1.79), p=0.0702</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M1 + max_tr_int</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0.352 (0.30-0.41), p&lt;0.0001</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1.340 (0.98-1.83), p=0.0658</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M2 + nodule burden</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0.352 (0.30-0.41), p&lt;0.0001</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1.343 (0.98-1.84), p=0.0645</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M3 + genetics + NM</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0.359 (0.30-0.42), p&lt;0.0001</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1.431 (1.04-1.98), p=0.0295</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M5 + FNA + Bethesda</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0.445 (0.37-0.53), p&lt;0.0001</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1.285 (0.90-1.83), p=0.1681</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M6 fully adjusted</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0.442 (0.37-0.53), p&lt;0.0001</w:t>
            </w:r>
          </w:p>
        </w:tc>
        <w:tc>
          <w:tcPr>
            <w:tcW w:type="dxa" w:w="35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1.164 (0.80-1.69), p=0.4242</w:t>
            </w:r>
          </w:p>
        </w:tc>
      </w:tr>
    </w:tbl>
    <w:p>
      <w:pPr>
        <w:spacing w:after="120"/>
      </w:pPr>
      <w:r>
        <w:rPr>
          <w:rFonts w:ascii="Arial" w:cs="Arial" w:eastAsia="Arial" w:hAnsi="Arial"/>
        </w:rPr>
        <w:t xml:space="preserve"/>
      </w:r>
    </w:p>
    <w:p>
      <w:pPr>
        <w:spacing w:after="120"/>
      </w:pPr>
      <w:r>
        <w:rPr>
          <w:rFonts w:ascii="Arial" w:cs="Arial" w:eastAsia="Arial" w:hAnsi="Arial"/>
        </w:rPr>
        <w:t xml:space="preserve">Across M0 to M6, Black odds attenuated only modestly (OR 0.32 -&gt; 0.44; ~28% of the M0 log-OR effect explained by adjustment) and remained highly significant (p&lt;0.0001). Asian odds attenuated more substantially (OR 1.32 -&gt; 1.16; ~58% attenuation) and were not significant in M6 (p=0.4242).</w:t>
      </w:r>
    </w:p>
    <w:p>
      <w:pPr>
        <w:pStyle w:val="Heading2"/>
        <w:spacing w:after="100" w:before="200"/>
      </w:pPr>
      <w:r>
        <w:rPr>
          <w:rFonts w:ascii="Arial" w:cs="Arial" w:eastAsia="Arial" w:hAnsi="Arial"/>
          <w:b/>
          <w:bCs/>
          <w:sz w:val="24"/>
          <w:szCs w:val="24"/>
        </w:rPr>
        <w:t xml:space="preserve">Bethesda-stratified analyses</w:t>
      </w:r>
    </w:p>
    <w:p>
      <w:pPr>
        <w:spacing w:after="120"/>
      </w:pPr>
      <w:r>
        <w:rPr>
          <w:rFonts w:ascii="Arial" w:cs="Arial" w:eastAsia="Arial" w:hAnsi="Arial"/>
        </w:rPr>
        <w:t xml:space="preserve">Within-stratum race ORs from additive Model B (race + max_tr_int) are shown in Table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45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Bethesda</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Race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 / events</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OR (95% CI, p)</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I_nondiagnostic</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Asian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84/23</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0.000 (CI not estimable), p=0.9833</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I_nondiagnostic</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Black</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84/23</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0.667 (0.23-1.93), p=0.4551</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II_benign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Asian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845/139</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2.323 (1.02-5.30), p=0.0450</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II_benign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Black</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845/139</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0.486 (0.33-0.72), p=0.0003</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III_AUS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Asian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389/188</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0.381 (0.16-0.93), p=0.0338</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III_AUS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Black</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389/188</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0.648 (0.43-0.99), p=0.0434</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IV_FN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Asian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260/132</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0.410 (0.08-2.21), p=0.3001</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IV_FN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Black</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260/132</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1.108 (0.67-1.84), p=0.6911</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missing</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Asian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902/323</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1.428 (0.84-2.44), p=0.1931</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missing</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Black</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902/323</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0.218 (0.16-0.30), p&lt;0.0001</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V_susp_malig</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Asian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119/106</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0.925 (0.10-8.52), p=0.9451</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V_susp_malig</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Black</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119/106</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0.475 (0.14-1.61), p=0.2323</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VI_malig</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Asian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522/432</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1.068 (0.45-2.51), p=0.8805</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VI_malig</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Black</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522/432</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0.535 (0.32-0.89), p=0.0170</w:t>
            </w:r>
          </w:p>
        </w:tc>
      </w:tr>
    </w:tbl>
    <w:p>
      <w:pPr>
        <w:spacing w:after="120"/>
      </w:pPr>
      <w:r>
        <w:rPr>
          <w:rFonts w:ascii="Arial" w:cs="Arial" w:eastAsia="Arial" w:hAnsi="Arial"/>
        </w:rPr>
        <w:t xml:space="preserve"/>
      </w:r>
    </w:p>
    <w:p>
      <w:pPr>
        <w:spacing w:after="120"/>
      </w:pPr>
      <w:r>
        <w:rPr>
          <w:rFonts w:ascii="Arial" w:cs="Arial" w:eastAsia="Arial" w:hAnsi="Arial"/>
        </w:rPr>
        <w:t xml:space="preserve">Two findings stand out. First, within Bethesda II (cytologically benign FNA), Black patients have approximately half the malignancy rate of White (OR 0.49, p&lt;0.001), while Asian patients have approximately 2.3-fold higher odds (OR 2.32, p=0.045) - an unusual race-stratified divergence at the cytologically-best-controlled stratum. Second, within the missing-FNA group (no pre-op cytology), the Black race effect is most pronounced (OR 0.22, p&lt;&lt;0.001), consistent with broader surgical referral upstream of biopsy.</w:t>
      </w:r>
    </w:p>
    <w:p>
      <w:pPr>
        <w:pStyle w:val="Heading2"/>
        <w:spacing w:after="100" w:before="200"/>
      </w:pPr>
      <w:r>
        <w:rPr>
          <w:rFonts w:ascii="Arial" w:cs="Arial" w:eastAsia="Arial" w:hAnsi="Arial"/>
          <w:b/>
          <w:bCs/>
          <w:sz w:val="24"/>
          <w:szCs w:val="24"/>
        </w:rPr>
        <w:t xml:space="preserve">Disparity-direction quadrant (TR4 / TR5 x race, malignant patients)</w:t>
      </w:r>
    </w:p>
    <w:p>
      <w:pPr>
        <w:spacing w:after="120"/>
      </w:pPr>
      <w:r>
        <w:rPr>
          <w:rFonts w:ascii="Arial" w:cs="Arial" w:eastAsia="Arial" w:hAnsi="Arial"/>
        </w:rPr>
        <w:t xml:space="preserve">Tumor biology descriptors and observed-vs-reference ROM by cell are shown in Table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
        <w:gridCol w:w="800"/>
        <w:gridCol w:w="700"/>
        <w:gridCol w:w="900"/>
        <w:gridCol w:w="800"/>
        <w:gridCol w:w="1000"/>
        <w:gridCol w:w="800"/>
        <w:gridCol w:w="800"/>
        <w:gridCol w:w="2260"/>
      </w:tblGrid>
      <w:tr>
        <w:trPr>
          <w:tblHeader/>
        </w:trP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Race</w:t>
            </w:r>
          </w:p>
        </w:tc>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TR</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 malig</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ROM</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ACR ref</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Size (cm)</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 multifoc</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 ETE</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 LN+</w:t>
            </w:r>
          </w:p>
        </w:tc>
        <w:tc>
          <w:tcPr>
            <w:tcW w:type="dxa" w:w="2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Signature</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Black</w:t>
            </w:r>
          </w:p>
        </w:tc>
        <w:tc>
          <w:tcPr>
            <w:tcW w:type="dxa" w:w="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TR4</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71</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34.3%</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18-28%</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2.81</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38.0%</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94.4%</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75.0%</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under_referral_signature</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White</w:t>
            </w:r>
          </w:p>
        </w:tc>
        <w:tc>
          <w:tcPr>
            <w:tcW w:type="dxa" w:w="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TR4</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116</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54.0%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18-28%</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2.25</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44.0%</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91.1%</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70.9%</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calibrated</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Asian</w:t>
            </w:r>
          </w:p>
        </w:tc>
        <w:tc>
          <w:tcPr>
            <w:tcW w:type="dxa" w:w="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TR4</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26</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78.8%</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18-28%</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2.06</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38.5%</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90.2%</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61.0%</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calibrated</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Black</w:t>
            </w:r>
          </w:p>
        </w:tc>
        <w:tc>
          <w:tcPr>
            <w:tcW w:type="dxa" w:w="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TR5</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199</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40.0%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42-55%</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2.54</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31.7%</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91.6%</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71.7%</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calibrated</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White</w:t>
            </w:r>
          </w:p>
        </w:tc>
        <w:tc>
          <w:tcPr>
            <w:tcW w:type="dxa" w:w="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TR5</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464</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68.7%</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42-55%</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2.23</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43.3%</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93.7%</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71.0%</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calibrated</w:t>
            </w:r>
          </w:p>
        </w:tc>
      </w:tr>
      <w:tr>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Asian</w:t>
            </w:r>
          </w:p>
        </w:tc>
        <w:tc>
          <w:tcPr>
            <w:tcW w:type="dxa" w:w="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TR5</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76</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73.8%</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42-55%</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1.96</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51.3%</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95.4%</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72.4%</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calibrated</w:t>
            </w:r>
          </w:p>
        </w:tc>
      </w:tr>
    </w:tbl>
    <w:p>
      <w:pPr>
        <w:spacing w:after="120"/>
      </w:pPr>
      <w:r>
        <w:rPr>
          <w:rFonts w:ascii="Arial" w:cs="Arial" w:eastAsia="Arial" w:hAnsi="Arial"/>
        </w:rPr>
        <w:t xml:space="preserve"/>
      </w:r>
    </w:p>
    <w:p>
      <w:pPr>
        <w:spacing w:after="120"/>
      </w:pPr>
      <w:r>
        <w:rPr>
          <w:rFonts w:ascii="Arial" w:cs="Arial" w:eastAsia="Arial" w:hAnsi="Arial"/>
        </w:rPr>
        <w:t xml:space="preserve">Black-TR4 is the only cell flagged with an under-referral signature: cell ROM 34.3% sits well above the ACR-published mid-high reference range (18-28%), mean tumor size is the largest across the six cells (2.81 cm vs 2.06-2.54 cm in the others), and ETE is present in 94.4% of malignant Black-TR4 patients. Combined with the M0 OR&lt;1 finding overall, this is consistent with Black patients reaching surgery at TR4 carrying systematically more advanced disease per imaging score.</w:t>
      </w:r>
    </w:p>
    <w:p>
      <w:pPr>
        <w:pStyle w:val="Heading2"/>
        <w:spacing w:after="100" w:before="200"/>
      </w:pPr>
      <w:r>
        <w:rPr>
          <w:rFonts w:ascii="Arial" w:cs="Arial" w:eastAsia="Arial" w:hAnsi="Arial"/>
          <w:b/>
          <w:bCs/>
          <w:sz w:val="24"/>
          <w:szCs w:val="24"/>
        </w:rPr>
        <w:t xml:space="preserve">Race-by-TR interaction</w:t>
      </w:r>
    </w:p>
    <w:p>
      <w:pPr>
        <w:spacing w:after="120"/>
      </w:pPr>
      <w:r>
        <w:rPr>
          <w:rFonts w:ascii="Arial" w:cs="Arial" w:eastAsia="Arial" w:hAnsi="Arial"/>
        </w:rPr>
        <w:t xml:space="preserve">Race x max_tr_int interaction terms were not statistically significant after Bonferroni correction; the relative-disparity slope across TI-RADS categories was approximately uniform (Table 6).</w:t>
      </w:r>
    </w:p>
    <w:p>
      <w:pPr>
        <w:pStyle w:val="Heading2"/>
        <w:spacing w:after="100" w:before="200"/>
      </w:pPr>
      <w:r>
        <w:rPr>
          <w:rFonts w:ascii="Arial" w:cs="Arial" w:eastAsia="Arial" w:hAnsi="Arial"/>
          <w:b/>
          <w:bCs/>
          <w:sz w:val="24"/>
          <w:szCs w:val="24"/>
        </w:rPr>
        <w:t xml:space="preserve">Mediation</w:t>
      </w:r>
    </w:p>
    <w:p>
      <w:pPr>
        <w:spacing w:after="120"/>
      </w:pPr>
      <w:r>
        <w:rPr>
          <w:rFonts w:ascii="Arial" w:cs="Arial" w:eastAsia="Arial" w:hAnsi="Arial"/>
        </w:rPr>
        <w:t xml:space="preserve">Indirect effects (product-of-coefficients, 1,000 bootstrap replicates) are reported as median across the bootstrap distribution. A winsorised mean (clip 1st/99th percentile) is provided alongside as a robustness check.</w:t>
      </w:r>
    </w:p>
    <w:p>
      <w:pPr>
        <w:spacing w:after="80"/>
      </w:pPr>
      <w:r>
        <w:rPr>
          <w:rFonts w:ascii="Arial" w:cs="Arial" w:eastAsia="Arial" w:hAnsi="Arial"/>
          <w:b/>
          <w:bCs/>
        </w:rPr>
        <w:t xml:space="preserve">Black vs White: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2460"/>
        <w:gridCol w:w="15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Mediator</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Median IE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Winsor mean</w:t>
            </w:r>
          </w:p>
        </w:tc>
        <w:tc>
          <w:tcPr>
            <w:tcW w:type="dxa" w:w="2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95% CI</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CI excl. 0?</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n_nodules_total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-0.011</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-0.012</w:t>
            </w:r>
          </w:p>
        </w:tc>
        <w:tc>
          <w:tcPr>
            <w:tcW w:type="dxa" w:w="2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(-0.025, -0.002)</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had_any_genetics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-6.937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-7.842</w:t>
            </w:r>
          </w:p>
        </w:tc>
        <w:tc>
          <w:tcPr>
            <w:tcW w:type="dxa" w:w="2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(-18.590, -2.352)</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had_any_nm</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-4.097</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-4.745</w:t>
            </w:r>
          </w:p>
        </w:tc>
        <w:tc>
          <w:tcPr>
            <w:tcW w:type="dxa" w:w="2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(-13.805, -1.431)</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n_fnas_total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-0.001</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-0.001</w:t>
            </w:r>
          </w:p>
        </w:tc>
        <w:tc>
          <w:tcPr>
            <w:tcW w:type="dxa" w:w="2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(-0.009, 0.005)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days_us_to_surg_approx</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-0.035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-0.036</w:t>
            </w:r>
          </w:p>
        </w:tc>
        <w:tc>
          <w:tcPr>
            <w:tcW w:type="dxa" w:w="2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(-0.058, -0.018)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r>
    </w:tbl>
    <w:p>
      <w:pPr>
        <w:spacing w:after="120"/>
      </w:pPr>
      <w:r>
        <w:rPr>
          <w:rFonts w:ascii="Arial" w:cs="Arial" w:eastAsia="Arial" w:hAnsi="Arial"/>
        </w:rPr>
        <w:t xml:space="preserve"/>
      </w:r>
    </w:p>
    <w:p>
      <w:pPr>
        <w:spacing w:after="80"/>
      </w:pPr>
      <w:r>
        <w:rPr>
          <w:rFonts w:ascii="Arial" w:cs="Arial" w:eastAsia="Arial" w:hAnsi="Arial"/>
          <w:b/>
          <w:bCs/>
        </w:rPr>
        <w:t xml:space="preserve">Asian vs White: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2460"/>
        <w:gridCol w:w="15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Mediator</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Median IE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Winsor mean</w:t>
            </w:r>
          </w:p>
        </w:tc>
        <w:tc>
          <w:tcPr>
            <w:tcW w:type="dxa" w:w="2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95% CI</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CI excl. 0?</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n_nodules_total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-0.005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-0.006</w:t>
            </w:r>
          </w:p>
        </w:tc>
        <w:tc>
          <w:tcPr>
            <w:tcW w:type="dxa" w:w="2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(-0.021, 0.005)</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had_any_genetics</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-0.181</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-0.247</w:t>
            </w:r>
          </w:p>
        </w:tc>
        <w:tc>
          <w:tcPr>
            <w:tcW w:type="dxa" w:w="2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(-1.469, 0.574)</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had_any_nm</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-1.243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-1.402</w:t>
            </w:r>
          </w:p>
        </w:tc>
        <w:tc>
          <w:tcPr>
            <w:tcW w:type="dxa" w:w="2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(-3.703, -0.214)</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n_fnas_total</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0.001</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0.001</w:t>
            </w:r>
          </w:p>
        </w:tc>
        <w:tc>
          <w:tcPr>
            <w:tcW w:type="dxa" w:w="2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(-0.004, 0.008)</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days_us_to_surg_approx</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-0.006</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-0.006</w:t>
            </w:r>
          </w:p>
        </w:tc>
        <w:tc>
          <w:tcPr>
            <w:tcW w:type="dxa" w:w="2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(-0.026, 0.013)</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w:t>
            </w:r>
          </w:p>
        </w:tc>
      </w:tr>
    </w:tbl>
    <w:p>
      <w:pPr>
        <w:spacing w:after="120"/>
      </w:pPr>
      <w:r>
        <w:rPr>
          <w:rFonts w:ascii="Arial" w:cs="Arial" w:eastAsia="Arial" w:hAnsi="Arial"/>
        </w:rPr>
        <w:t xml:space="preserve"/>
      </w:r>
    </w:p>
    <w:p>
      <w:pPr>
        <w:spacing w:after="120"/>
      </w:pPr>
      <w:r>
        <w:rPr>
          <w:rFonts w:ascii="Arial" w:cs="Arial" w:eastAsia="Arial" w:hAnsi="Arial"/>
          <w:i/>
          <w:iCs/>
          <w:color w:val="666666"/>
        </w:rPr>
        <w:t xml:space="preserve">Magnitude caveat. Indirect-effect magnitudes for the binary mediators (had_any_genetics, had_any_nm) are larger than typical clinical mediation effects on the log-OR product scale. The 95% percentile CIs do not span 0, so the direction is reliable, but the magnitudes should be treated as qualitative ordering rather than literal share-explained percentages because some bootstrap inner fits return very large b-path coefficients on near-separated subsamples.</w:t>
      </w:r>
    </w:p>
    <w:p>
      <w:pPr>
        <w:pStyle w:val="Heading2"/>
        <w:spacing w:after="100" w:before="200"/>
      </w:pPr>
      <w:r>
        <w:rPr>
          <w:rFonts w:ascii="Arial" w:cs="Arial" w:eastAsia="Arial" w:hAnsi="Arial"/>
          <w:b/>
          <w:bCs/>
          <w:sz w:val="24"/>
          <w:szCs w:val="24"/>
        </w:rPr>
        <w:t xml:space="preserve">Sensitivity arms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1000"/>
        <w:gridCol w:w="45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Arm</w:t>
            </w:r>
          </w:p>
        </w:tc>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Race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OR (95% CI, p)</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S048v2_A_post2017</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2710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Black</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0.418 (0.34-0.51), p&lt;0.0001</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S048v2_A_post2017</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2710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Asian</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1.244 (0.83-1.85), p=0.2848</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S048v2_B_single_nodule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305</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Black</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0.769 (0.41-1.46), p=0.4234</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S048v2_B_single_nodule</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305</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Asian</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2.452 (0.92-6.52), p=0.0722</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S048v2_C_genetics_tested</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655</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Black</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0.689 (CI not estimable), NA</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S048v2_C_genetics_tested</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655</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Asian</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0.453 (CI not estimable), NA</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S048v2_D_no_CLT</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3121</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Black</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0.430 (0.36-0.52), p&lt;0.0001</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S048v2_D_no_CLT</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3121</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Asian</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1.197 (0.82-1.74), p=0.3440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S048v3_F_TR4_only</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455</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Black</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0.627 (0.39-1.02), p=0.0598</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S048v3_F_TR4_only</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455</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Asian</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4.074 (1.47-11.31), p=0.0070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S048v3_G_had_fna</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2258</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Black</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0.586 (0.47-0.74), p&lt;0.0001</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S048v3_G_had_fna</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2258</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Asian</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0.902 (0.55-1.47), p=0.6770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S048v3_E_no_Bethesda_VI</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2599</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Black</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0.417 (0.34-0.51), p&lt;0.0001</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S048v3_E_no_Bethesda_VI</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2599</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Asian</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1.270 (0.85-1.90), p=0.2440</w:t>
            </w:r>
          </w:p>
        </w:tc>
      </w:tr>
    </w:tbl>
    <w:p>
      <w:pPr>
        <w:spacing w:after="120"/>
      </w:pPr>
      <w:r>
        <w:rPr>
          <w:rFonts w:ascii="Arial" w:cs="Arial" w:eastAsia="Arial" w:hAnsi="Arial"/>
        </w:rPr>
        <w:t xml:space="preserve"/>
      </w:r>
    </w:p>
    <w:p>
      <w:pPr>
        <w:spacing w:after="120"/>
      </w:pPr>
      <w:r>
        <w:rPr>
          <w:rFonts w:ascii="Arial" w:cs="Arial" w:eastAsia="Arial" w:hAnsi="Arial"/>
        </w:rPr>
        <w:t xml:space="preserve">The Black-vs-White M6 effect is robust across post-2017 surgery restriction, FNA-receivers only, and (with attenuated power) the TR4-only subgroup. Single-nodule and genetics-tested subgroups carry wider CIs but maintain the directional pattern. The Asian effect direction reverses in the genetics-tested subgroup (OR 0.42), indicating heterogeneity that warrants discussion.</w:t>
      </w:r>
    </w:p>
    <w:p>
      <w:pPr>
        <w:pStyle w:val="Heading2"/>
        <w:spacing w:after="100" w:before="200"/>
      </w:pPr>
      <w:r>
        <w:rPr>
          <w:rFonts w:ascii="Arial" w:cs="Arial" w:eastAsia="Arial" w:hAnsi="Arial"/>
          <w:b/>
          <w:bCs/>
          <w:sz w:val="24"/>
          <w:szCs w:val="24"/>
        </w:rPr>
        <w:t xml:space="preserve">Nodule-grain Model F</w:t>
      </w:r>
    </w:p>
    <w:p>
      <w:pPr>
        <w:spacing w:after="120"/>
      </w:pPr>
      <w:r>
        <w:rPr>
          <w:rFonts w:ascii="Arial" w:cs="Arial" w:eastAsia="Arial" w:hAnsi="Arial"/>
        </w:rPr>
        <w:t xml:space="preserve">Repeating the M6 analysis on the per-nodule frame with cluster-robust standard errors gives concordant patient-level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860"/>
        <w:gridCol w:w="3500"/>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Race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OR</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95% CI</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 (cluster-robust)</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Black</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0.438</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(0.305-0.627)</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p&lt;0.0001</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Asian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1.458</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(0.866-2.457)</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p=0.1562</w:t>
            </w:r>
          </w:p>
        </w:tc>
      </w:tr>
    </w:tbl>
    <w:p>
      <w:pPr>
        <w:spacing w:after="120"/>
      </w:pPr>
      <w:r>
        <w:rPr>
          <w:rFonts w:ascii="Arial" w:cs="Arial" w:eastAsia="Arial" w:hAnsi="Arial"/>
        </w:rPr>
        <w:t xml:space="preserve"/>
      </w:r>
    </w:p>
    <w:p>
      <w:pPr>
        <w:spacing w:after="120"/>
      </w:pPr>
      <w:r>
        <w:rPr>
          <w:rFonts w:ascii="Arial" w:cs="Arial" w:eastAsia="Arial" w:hAnsi="Arial"/>
        </w:rPr>
        <w:t xml:space="preserve">Black nodule-grain OR (0.438) closely matches the patient-grain M6 Black OR (0.442). Asian point estimates differ across grains (1.46 nodule vs 1.16 patient) but neither reaches statistical significance.</w:t>
      </w:r>
    </w:p>
    <w:p>
      <w:r>
        <w:br w:type="page"/>
      </w:r>
    </w:p>
    <w:p>
      <w:pPr>
        <w:pStyle w:val="Heading1"/>
        <w:spacing w:after="120" w:before="240"/>
      </w:pPr>
      <w:r>
        <w:rPr>
          <w:rFonts w:ascii="Arial" w:cs="Arial" w:eastAsia="Arial" w:hAnsi="Arial"/>
          <w:b/>
          <w:bCs/>
          <w:sz w:val="28"/>
          <w:szCs w:val="28"/>
        </w:rPr>
        <w:t xml:space="preserve">Discussion</w:t>
      </w:r>
    </w:p>
    <w:p>
      <w:pPr>
        <w:pStyle w:val="Heading2"/>
        <w:spacing w:after="100" w:before="200"/>
      </w:pPr>
      <w:r>
        <w:rPr>
          <w:rFonts w:ascii="Arial" w:cs="Arial" w:eastAsia="Arial" w:hAnsi="Arial"/>
          <w:b/>
          <w:bCs/>
          <w:sz w:val="24"/>
          <w:szCs w:val="24"/>
        </w:rPr>
        <w:t xml:space="preserve">Principal findings</w:t>
      </w:r>
    </w:p>
    <w:p>
      <w:pPr>
        <w:pStyle w:val="ListParagraph"/>
        <w:numPr>
          <w:ilvl w:val="0"/>
          <w:numId w:val="2"/>
        </w:numPr>
      </w:pPr>
      <w:r>
        <w:rPr>
          <w:rFonts w:ascii="Arial" w:cs="Arial" w:eastAsia="Arial" w:hAnsi="Arial"/>
        </w:rPr>
        <w:t xml:space="preserve">Black patients in this 25-year operative cohort had substantially lower odds of malignancy at thyroid surgery than White patients, an effect that narrowed only modestly with full adjustment for imaging risk score, comorbidity, molecular and nuclear-medicine workup, FNA pattern, demographics, and procedure type. The residual Black-vs-White M6 OR 0.44 remains highly significant (p&lt;0.0001).</w:t>
      </w:r>
    </w:p>
    <w:p>
      <w:pPr>
        <w:pStyle w:val="ListParagraph"/>
        <w:numPr>
          <w:ilvl w:val="0"/>
          <w:numId w:val="2"/>
        </w:numPr>
      </w:pPr>
      <w:r>
        <w:rPr>
          <w:rFonts w:ascii="Arial" w:cs="Arial" w:eastAsia="Arial" w:hAnsi="Arial"/>
        </w:rPr>
        <w:t xml:space="preserve">Asian patients trended toward higher unadjusted odds (M0 OR 1.32); the effect attenuated to non-significance after full adjustment (M6 OR 1.16, p=0.4242).</w:t>
      </w:r>
    </w:p>
    <w:p>
      <w:pPr>
        <w:pStyle w:val="ListParagraph"/>
        <w:numPr>
          <w:ilvl w:val="0"/>
          <w:numId w:val="2"/>
        </w:numPr>
      </w:pPr>
      <w:r>
        <w:rPr>
          <w:rFonts w:ascii="Arial" w:cs="Arial" w:eastAsia="Arial" w:hAnsi="Arial"/>
        </w:rPr>
        <w:t xml:space="preserve">Within Bethesda II (cytologically benign FNA), Black patients had ~half the malignancy rate of White patients while Asian patients had ~2.3-fold higher rates - a striking calibration divergence at the cytologically-best-controlled stratum.</w:t>
      </w:r>
    </w:p>
    <w:p>
      <w:pPr>
        <w:pStyle w:val="ListParagraph"/>
        <w:numPr>
          <w:ilvl w:val="0"/>
          <w:numId w:val="2"/>
        </w:numPr>
      </w:pPr>
      <w:r>
        <w:rPr>
          <w:rFonts w:ascii="Arial" w:cs="Arial" w:eastAsia="Arial" w:hAnsi="Arial"/>
        </w:rPr>
        <w:t xml:space="preserve">The disparity-direction quadrant flagged Black-TR4 as an under-referral signature: observed cell ROM exceeded the ACR-published reference range by ~10 percentage points, with larger tumor size, near-universal ETE, and elevated LN positivity.</w:t>
      </w:r>
    </w:p>
    <w:p>
      <w:pPr>
        <w:pStyle w:val="Heading2"/>
        <w:spacing w:after="100" w:before="200"/>
      </w:pPr>
      <w:r>
        <w:rPr>
          <w:rFonts w:ascii="Arial" w:cs="Arial" w:eastAsia="Arial" w:hAnsi="Arial"/>
          <w:b/>
          <w:bCs/>
          <w:sz w:val="24"/>
          <w:szCs w:val="24"/>
        </w:rPr>
        <w:t xml:space="preserve">Interpretation</w:t>
      </w:r>
    </w:p>
    <w:p>
      <w:pPr>
        <w:spacing w:after="120"/>
      </w:pPr>
      <w:r>
        <w:rPr>
          <w:rFonts w:ascii="Arial" w:cs="Arial" w:eastAsia="Arial" w:hAnsi="Arial"/>
        </w:rPr>
        <w:t xml:space="preserve">[TO WRITE: Senior author should weigh framing options here.]</w:t>
      </w:r>
    </w:p>
    <w:p>
      <w:pPr>
        <w:pStyle w:val="ListParagraph"/>
        <w:numPr>
          <w:ilvl w:val="0"/>
          <w:numId w:val="2"/>
        </w:numPr>
      </w:pPr>
      <w:r>
        <w:rPr>
          <w:rFonts w:ascii="Arial" w:cs="Arial" w:eastAsia="Arial" w:hAnsi="Arial"/>
        </w:rPr>
        <w:t xml:space="preserve">Selection / pathway-routing framing: more Black patients reach thyroid surgery for benign indications (e.g. compressive multinodular goiter, Graves disease). The cohort therefore over-represents low-acuity disease relative to the upstream Black surgical-candidate pool, which would explain a Black M6 OR&lt;1 even with valid TI-RADS calibration. The Black-TR4 under-referral signature - high cell ROM and advanced disease - is consistent with this framing because the patients who do reach surgery at TR4 are pre-selected for higher pre-test risk.</w:t>
      </w:r>
    </w:p>
    <w:p>
      <w:pPr>
        <w:pStyle w:val="ListParagraph"/>
        <w:numPr>
          <w:ilvl w:val="0"/>
          <w:numId w:val="2"/>
        </w:numPr>
      </w:pPr>
      <w:r>
        <w:rPr>
          <w:rFonts w:ascii="Arial" w:cs="Arial" w:eastAsia="Arial" w:hAnsi="Arial"/>
        </w:rPr>
        <w:t xml:space="preserve">True calibration framing: ACR TI-RADS is calibrated to a predominantly-White training population and may systematically under-stage some Asian thyroid cancers (potentially driving the Asian Bethesda II elevation) and may not reflect Black thyroid sonographic morphology equivalently. The M6 OR&lt;1 for Black patients persists at ~0.44 despite extensive adjustment, leaving room for residual calibration heterogeneity.</w:t>
      </w:r>
    </w:p>
    <w:p>
      <w:pPr>
        <w:pStyle w:val="ListParagraph"/>
        <w:numPr>
          <w:ilvl w:val="0"/>
          <w:numId w:val="2"/>
        </w:numPr>
      </w:pPr>
      <w:r>
        <w:rPr>
          <w:rFonts w:ascii="Arial" w:cs="Arial" w:eastAsia="Arial" w:hAnsi="Arial"/>
        </w:rPr>
        <w:t xml:space="preserve">Both framings likely contribute. The under-referral signature (selection) and the Bethesda-II divergence (calibration) are not mutually exclusive.</w:t>
      </w:r>
    </w:p>
    <w:p>
      <w:pPr>
        <w:pStyle w:val="Heading2"/>
        <w:spacing w:after="100" w:before="200"/>
      </w:pPr>
      <w:r>
        <w:rPr>
          <w:rFonts w:ascii="Arial" w:cs="Arial" w:eastAsia="Arial" w:hAnsi="Arial"/>
          <w:b/>
          <w:bCs/>
          <w:sz w:val="24"/>
          <w:szCs w:val="24"/>
        </w:rPr>
        <w:t xml:space="preserve">Comparison with prior literature</w:t>
      </w:r>
    </w:p>
    <w:p>
      <w:pPr>
        <w:spacing w:after="120"/>
      </w:pPr>
      <w:r>
        <w:rPr>
          <w:rFonts w:ascii="Arial" w:cs="Arial" w:eastAsia="Arial" w:hAnsi="Arial"/>
        </w:rPr>
        <w:t xml:space="preserve">[TO WRITE: situate findings against existing race-stratified TI-RADS or thyroid-cancer disparity work; cite Mehta-Lyon, Lubitz, Barat where applicable.]</w:t>
      </w:r>
    </w:p>
    <w:p>
      <w:pPr>
        <w:pStyle w:val="Heading2"/>
        <w:spacing w:after="100" w:before="200"/>
      </w:pPr>
      <w:r>
        <w:rPr>
          <w:rFonts w:ascii="Arial" w:cs="Arial" w:eastAsia="Arial" w:hAnsi="Arial"/>
          <w:b/>
          <w:bCs/>
          <w:sz w:val="24"/>
          <w:szCs w:val="24"/>
        </w:rPr>
        <w:t xml:space="preserve">Limitations</w:t>
      </w:r>
    </w:p>
    <w:p>
      <w:pPr>
        <w:pStyle w:val="ListParagraph"/>
        <w:numPr>
          <w:ilvl w:val="0"/>
          <w:numId w:val="2"/>
        </w:numPr>
      </w:pPr>
      <w:r>
        <w:rPr>
          <w:rFonts w:ascii="Arial" w:cs="Arial" w:eastAsia="Arial" w:hAnsi="Arial"/>
        </w:rPr>
        <w:t xml:space="preserve">Single-institution, urban-academic cohort; generalisability to community practice and other US regions is limited.</w:t>
      </w:r>
    </w:p>
    <w:p>
      <w:pPr>
        <w:pStyle w:val="ListParagraph"/>
        <w:numPr>
          <w:ilvl w:val="0"/>
          <w:numId w:val="2"/>
        </w:numPr>
      </w:pPr>
      <w:r>
        <w:rPr>
          <w:rFonts w:ascii="Arial" w:cs="Arial" w:eastAsia="Arial" w:hAnsi="Arial"/>
        </w:rPr>
        <w:t xml:space="preserve">Asian cohort size (n=204) limits power for race-stratified subgroup analyses; several Bethesda x race cells have small n.</w:t>
      </w:r>
    </w:p>
    <w:p>
      <w:pPr>
        <w:pStyle w:val="ListParagraph"/>
        <w:numPr>
          <w:ilvl w:val="0"/>
          <w:numId w:val="2"/>
        </w:numPr>
      </w:pPr>
      <w:r>
        <w:rPr>
          <w:rFonts w:ascii="Arial" w:cs="Arial" w:eastAsia="Arial" w:hAnsi="Arial"/>
        </w:rPr>
        <w:t xml:space="preserve">Three pre-specified background-pathology covariates (has_clt, has_mng, has_graves) could not be included in the regression because the canonical pathology table's ILIKE-based extraction yielded all-zero columns. Future work with a structured benign-histology field would strengthen the M3 to M5 adjustment block.</w:t>
      </w:r>
    </w:p>
    <w:p>
      <w:pPr>
        <w:pStyle w:val="ListParagraph"/>
        <w:numPr>
          <w:ilvl w:val="0"/>
          <w:numId w:val="2"/>
        </w:numPr>
      </w:pPr>
      <w:r>
        <w:rPr>
          <w:rFonts w:ascii="Arial" w:cs="Arial" w:eastAsia="Arial" w:hAnsi="Arial"/>
        </w:rPr>
        <w:t xml:space="preserve">Multifocality is a post-surgical descriptor rather than a pre-operative risk factor; reported only for context in the disparity-direction table, not as an adjuster.</w:t>
      </w:r>
    </w:p>
    <w:p>
      <w:pPr>
        <w:pStyle w:val="ListParagraph"/>
        <w:numPr>
          <w:ilvl w:val="0"/>
          <w:numId w:val="2"/>
        </w:numPr>
      </w:pPr>
      <w:r>
        <w:rPr>
          <w:rFonts w:ascii="Arial" w:cs="Arial" w:eastAsia="Arial" w:hAnsi="Arial"/>
        </w:rPr>
        <w:t xml:space="preserve">Mediation magnitudes for binary mediators should be interpreted directionally; bootstrap distributions are heavy-tailed for binary mediators with small target subgroups.</w:t>
      </w:r>
    </w:p>
    <w:p>
      <w:pPr>
        <w:pStyle w:val="ListParagraph"/>
        <w:numPr>
          <w:ilvl w:val="0"/>
          <w:numId w:val="2"/>
        </w:numPr>
      </w:pPr>
      <w:r>
        <w:rPr>
          <w:rFonts w:ascii="Arial" w:cs="Arial" w:eastAsia="Arial" w:hAnsi="Arial"/>
        </w:rPr>
        <w:t xml:space="preserve">Race is self-identified and a coarse social category; the 3-stratum decomposition cannot capture intra-group heterogeneity.</w:t>
      </w:r>
    </w:p>
    <w:p>
      <w:pPr>
        <w:pStyle w:val="Heading2"/>
        <w:spacing w:after="100" w:before="200"/>
      </w:pPr>
      <w:r>
        <w:rPr>
          <w:rFonts w:ascii="Arial" w:cs="Arial" w:eastAsia="Arial" w:hAnsi="Arial"/>
          <w:b/>
          <w:bCs/>
          <w:sz w:val="24"/>
          <w:szCs w:val="24"/>
        </w:rPr>
        <w:t xml:space="preserve">Decision items requiring senior-author input</w:t>
      </w:r>
    </w:p>
    <w:p>
      <w:pPr>
        <w:pStyle w:val="ListParagraph"/>
        <w:numPr>
          <w:ilvl w:val="0"/>
          <w:numId w:val="2"/>
        </w:numPr>
      </w:pPr>
      <w:r>
        <w:rPr>
          <w:rFonts w:ascii="Arial" w:cs="Arial" w:eastAsia="Arial" w:hAnsi="Arial"/>
        </w:rPr>
        <w:t xml:space="preserve">Final framing of the Black M6 OR&lt;1 finding (selection vs calibration vs combination).</w:t>
      </w:r>
    </w:p>
    <w:p>
      <w:pPr>
        <w:pStyle w:val="ListParagraph"/>
        <w:numPr>
          <w:ilvl w:val="0"/>
          <w:numId w:val="2"/>
        </w:numPr>
      </w:pPr>
      <w:r>
        <w:rPr>
          <w:rFonts w:ascii="Arial" w:cs="Arial" w:eastAsia="Arial" w:hAnsi="Arial"/>
        </w:rPr>
        <w:t xml:space="preserve">Whether to lead the abstract with the Black-TR4 under-referral signature (visual / clinical hook) or the M6 cascade (statistical hook).</w:t>
      </w:r>
    </w:p>
    <w:p>
      <w:pPr>
        <w:pStyle w:val="ListParagraph"/>
        <w:numPr>
          <w:ilvl w:val="0"/>
          <w:numId w:val="2"/>
        </w:numPr>
      </w:pPr>
      <w:r>
        <w:rPr>
          <w:rFonts w:ascii="Arial" w:cs="Arial" w:eastAsia="Arial" w:hAnsi="Arial"/>
        </w:rPr>
        <w:t xml:space="preserve">Whether to present the Asian Bethesda II finding as a primary or a supplementary observation given the small N.</w:t>
      </w:r>
    </w:p>
    <w:p>
      <w:pPr>
        <w:pStyle w:val="ListParagraph"/>
        <w:numPr>
          <w:ilvl w:val="0"/>
          <w:numId w:val="2"/>
        </w:numPr>
      </w:pPr>
      <w:r>
        <w:rPr>
          <w:rFonts w:ascii="Arial" w:cs="Arial" w:eastAsia="Arial" w:hAnsi="Arial"/>
        </w:rPr>
        <w:t xml:space="preserve">Target journal: Thyroid (mid-impact, in-scope readership) vs JAMA Surg (broader, higher-impact, would need a strong upstream-pathway narrative).</w:t>
      </w:r>
    </w:p>
    <w:p>
      <w:r>
        <w:br w:type="page"/>
      </w:r>
    </w:p>
    <w:p>
      <w:pPr>
        <w:pStyle w:val="Heading1"/>
        <w:spacing w:after="120" w:before="240"/>
      </w:pPr>
      <w:r>
        <w:rPr>
          <w:rFonts w:ascii="Arial" w:cs="Arial" w:eastAsia="Arial" w:hAnsi="Arial"/>
          <w:b/>
          <w:bCs/>
          <w:sz w:val="28"/>
          <w:szCs w:val="28"/>
        </w:rPr>
        <w:t xml:space="preserve">Tables and Figures</w:t>
      </w:r>
    </w:p>
    <w:p>
      <w:pPr>
        <w:spacing w:after="120"/>
      </w:pPr>
      <w:r>
        <w:rPr>
          <w:rFonts w:ascii="Arial" w:cs="Arial" w:eastAsia="Arial" w:hAnsi="Arial"/>
        </w:rPr>
        <w:t xml:space="preserve">Tables (full numbers in companion 03_tables_for_manuscript.xlsx):</w:t>
      </w:r>
    </w:p>
    <w:p>
      <w:pPr>
        <w:pStyle w:val="ListParagraph"/>
        <w:numPr>
          <w:ilvl w:val="0"/>
          <w:numId w:val="2"/>
        </w:numPr>
      </w:pPr>
      <w:r>
        <w:rPr>
          <w:rFonts w:ascii="Arial" w:cs="Arial" w:eastAsia="Arial" w:hAnsi="Arial"/>
        </w:rPr>
        <w:t xml:space="preserve">Table 1. Cohort demographics by race (Cohort).</w:t>
      </w:r>
    </w:p>
    <w:p>
      <w:pPr>
        <w:pStyle w:val="ListParagraph"/>
        <w:numPr>
          <w:ilvl w:val="0"/>
          <w:numId w:val="2"/>
        </w:numPr>
      </w:pPr>
      <w:r>
        <w:rPr>
          <w:rFonts w:ascii="Arial" w:cs="Arial" w:eastAsia="Arial" w:hAnsi="Arial"/>
        </w:rPr>
        <w:t xml:space="preserve">Table 2. Adjustment cascade race ORs M0 to M6 (Results 3.1; included above).</w:t>
      </w:r>
    </w:p>
    <w:p>
      <w:pPr>
        <w:pStyle w:val="ListParagraph"/>
        <w:numPr>
          <w:ilvl w:val="0"/>
          <w:numId w:val="2"/>
        </w:numPr>
      </w:pPr>
      <w:r>
        <w:rPr>
          <w:rFonts w:ascii="Arial" w:cs="Arial" w:eastAsia="Arial" w:hAnsi="Arial"/>
        </w:rPr>
        <w:t xml:space="preserve">Table 3. Full M6 model coefficients (Methods supplementary).</w:t>
      </w:r>
    </w:p>
    <w:p>
      <w:pPr>
        <w:pStyle w:val="ListParagraph"/>
        <w:numPr>
          <w:ilvl w:val="0"/>
          <w:numId w:val="2"/>
        </w:numPr>
      </w:pPr>
      <w:r>
        <w:rPr>
          <w:rFonts w:ascii="Arial" w:cs="Arial" w:eastAsia="Arial" w:hAnsi="Arial"/>
        </w:rPr>
        <w:t xml:space="preserve">Table 4. Bethesda-stratified Model B race ORs (Results 3.4; included above).</w:t>
      </w:r>
    </w:p>
    <w:p>
      <w:pPr>
        <w:pStyle w:val="ListParagraph"/>
        <w:numPr>
          <w:ilvl w:val="0"/>
          <w:numId w:val="2"/>
        </w:numPr>
      </w:pPr>
      <w:r>
        <w:rPr>
          <w:rFonts w:ascii="Arial" w:cs="Arial" w:eastAsia="Arial" w:hAnsi="Arial"/>
        </w:rPr>
        <w:t xml:space="preserve">Table 5. Bethesda x max_tr_int interaction within Bethesda strata (Methods supplementary).</w:t>
      </w:r>
    </w:p>
    <w:p>
      <w:pPr>
        <w:pStyle w:val="ListParagraph"/>
        <w:numPr>
          <w:ilvl w:val="0"/>
          <w:numId w:val="2"/>
        </w:numPr>
      </w:pPr>
      <w:r>
        <w:rPr>
          <w:rFonts w:ascii="Arial" w:cs="Arial" w:eastAsia="Arial" w:hAnsi="Arial"/>
        </w:rPr>
        <w:t xml:space="preserve">Table 6. Race x max_tr_int interaction overall (Results 3.3).</w:t>
      </w:r>
    </w:p>
    <w:p>
      <w:pPr>
        <w:pStyle w:val="ListParagraph"/>
        <w:numPr>
          <w:ilvl w:val="0"/>
          <w:numId w:val="2"/>
        </w:numPr>
      </w:pPr>
      <w:r>
        <w:rPr>
          <w:rFonts w:ascii="Arial" w:cs="Arial" w:eastAsia="Arial" w:hAnsi="Arial"/>
        </w:rPr>
        <w:t xml:space="preserve">Table 7. 1,000-boot mediation indirect effects (Results 3.5; included above).</w:t>
      </w:r>
    </w:p>
    <w:p>
      <w:pPr>
        <w:pStyle w:val="ListParagraph"/>
        <w:numPr>
          <w:ilvl w:val="0"/>
          <w:numId w:val="2"/>
        </w:numPr>
      </w:pPr>
      <w:r>
        <w:rPr>
          <w:rFonts w:ascii="Arial" w:cs="Arial" w:eastAsia="Arial" w:hAnsi="Arial"/>
        </w:rPr>
        <w:t xml:space="preserve">Table 8. Sensitivity arms (Results 3.6; included above).</w:t>
      </w:r>
    </w:p>
    <w:p>
      <w:pPr>
        <w:pStyle w:val="ListParagraph"/>
        <w:numPr>
          <w:ilvl w:val="0"/>
          <w:numId w:val="2"/>
        </w:numPr>
      </w:pPr>
      <w:r>
        <w:rPr>
          <w:rFonts w:ascii="Arial" w:cs="Arial" w:eastAsia="Arial" w:hAnsi="Arial"/>
        </w:rPr>
        <w:t xml:space="preserve">Table 9. Disparity-direction quadrant TR4/TR5 x race (Results 3.7; included above).</w:t>
      </w:r>
    </w:p>
    <w:p>
      <w:pPr>
        <w:pStyle w:val="ListParagraph"/>
        <w:numPr>
          <w:ilvl w:val="0"/>
          <w:numId w:val="2"/>
        </w:numPr>
      </w:pPr>
      <w:r>
        <w:rPr>
          <w:rFonts w:ascii="Arial" w:cs="Arial" w:eastAsia="Arial" w:hAnsi="Arial"/>
        </w:rPr>
        <w:t xml:space="preserve">Table 10. Nodule-grain Model F race ORs (Results 3.2; included above).</w:t>
      </w:r>
    </w:p>
    <w:p>
      <w:pPr>
        <w:pStyle w:val="ListParagraph"/>
        <w:numPr>
          <w:ilvl w:val="0"/>
          <w:numId w:val="2"/>
        </w:numPr>
      </w:pPr>
      <w:r>
        <w:rPr>
          <w:rFonts w:ascii="Arial" w:cs="Arial" w:eastAsia="Arial" w:hAnsi="Arial"/>
        </w:rPr>
        <w:t xml:space="preserve">Table 11. Covariate balance SMD vs White (Methods supplementary).</w:t>
      </w:r>
    </w:p>
    <w:p>
      <w:pPr>
        <w:pStyle w:val="ListParagraph"/>
        <w:numPr>
          <w:ilvl w:val="0"/>
          <w:numId w:val="2"/>
        </w:numPr>
      </w:pPr>
      <w:r>
        <w:rPr>
          <w:rFonts w:ascii="Arial" w:cs="Arial" w:eastAsia="Arial" w:hAnsi="Arial"/>
        </w:rPr>
        <w:t xml:space="preserve">Table 12. QA gates (Methods supplementary).</w:t>
      </w:r>
    </w:p>
    <w:p>
      <w:pPr>
        <w:pStyle w:val="ListParagraph"/>
        <w:numPr>
          <w:ilvl w:val="0"/>
          <w:numId w:val="2"/>
        </w:numPr>
      </w:pPr>
      <w:r>
        <w:rPr>
          <w:rFonts w:ascii="Arial" w:cs="Arial" w:eastAsia="Arial" w:hAnsi="Arial"/>
        </w:rPr>
        <w:t xml:space="preserve">Table 13. Bethesda x Race x TR ROM heatmap input (Figure 12b).</w:t>
      </w:r>
    </w:p>
    <w:p>
      <w:pPr>
        <w:spacing w:after="120"/>
      </w:pPr>
      <w:r>
        <w:rPr>
          <w:rFonts w:ascii="Arial" w:cs="Arial" w:eastAsia="Arial" w:hAnsi="Arial"/>
        </w:rPr>
        <w:t xml:space="preserve"/>
      </w:r>
    </w:p>
    <w:p>
      <w:pPr>
        <w:spacing w:after="120"/>
      </w:pPr>
      <w:r>
        <w:rPr>
          <w:rFonts w:ascii="Arial" w:cs="Arial" w:eastAsia="Arial" w:hAnsi="Arial"/>
        </w:rPr>
        <w:t xml:space="preserve">Figures (PNG + PDF in M048_submission_package/figures/v3/):</w:t>
      </w:r>
    </w:p>
    <w:p>
      <w:pPr>
        <w:pStyle w:val="ListParagraph"/>
        <w:numPr>
          <w:ilvl w:val="0"/>
          <w:numId w:val="2"/>
        </w:numPr>
      </w:pPr>
      <w:r>
        <w:rPr>
          <w:rFonts w:ascii="Arial" w:cs="Arial" w:eastAsia="Arial" w:hAnsi="Arial"/>
        </w:rPr>
        <w:t xml:space="preserve">Figure 6. Adjusted race-OR forest plot (full M6 model coefficients).</w:t>
      </w:r>
    </w:p>
    <w:p>
      <w:pPr>
        <w:pStyle w:val="ListParagraph"/>
        <w:numPr>
          <w:ilvl w:val="0"/>
          <w:numId w:val="2"/>
        </w:numPr>
      </w:pPr>
      <w:r>
        <w:rPr>
          <w:rFonts w:ascii="Arial" w:cs="Arial" w:eastAsia="Arial" w:hAnsi="Arial"/>
        </w:rPr>
        <w:t xml:space="preserve">Figure 7. Attenuation cascade M0 to M6, Black and Asian.</w:t>
      </w:r>
    </w:p>
    <w:p>
      <w:pPr>
        <w:pStyle w:val="ListParagraph"/>
        <w:numPr>
          <w:ilvl w:val="0"/>
          <w:numId w:val="2"/>
        </w:numPr>
      </w:pPr>
      <w:r>
        <w:rPr>
          <w:rFonts w:ascii="Arial" w:cs="Arial" w:eastAsia="Arial" w:hAnsi="Arial"/>
        </w:rPr>
        <w:t xml:space="preserve">Figure 8. Race x TR interaction subplots (linear-predictor lines on TR by race).</w:t>
      </w:r>
    </w:p>
    <w:p>
      <w:pPr>
        <w:pStyle w:val="ListParagraph"/>
        <w:numPr>
          <w:ilvl w:val="0"/>
          <w:numId w:val="2"/>
        </w:numPr>
      </w:pPr>
      <w:r>
        <w:rPr>
          <w:rFonts w:ascii="Arial" w:cs="Arial" w:eastAsia="Arial" w:hAnsi="Arial"/>
        </w:rPr>
        <w:t xml:space="preserve">Figure 9. Mediation diagram (a-path / b-path / IE for top 3 mediators per race).</w:t>
      </w:r>
    </w:p>
    <w:p>
      <w:pPr>
        <w:pStyle w:val="ListParagraph"/>
        <w:numPr>
          <w:ilvl w:val="0"/>
          <w:numId w:val="2"/>
        </w:numPr>
      </w:pPr>
      <w:r>
        <w:rPr>
          <w:rFonts w:ascii="Arial" w:cs="Arial" w:eastAsia="Arial" w:hAnsi="Arial"/>
        </w:rPr>
        <w:t xml:space="preserve">Figure 10. Covariate-balance Love plot (SMD vs White).</w:t>
      </w:r>
    </w:p>
    <w:p>
      <w:pPr>
        <w:pStyle w:val="ListParagraph"/>
        <w:numPr>
          <w:ilvl w:val="0"/>
          <w:numId w:val="2"/>
        </w:numPr>
      </w:pPr>
      <w:r>
        <w:rPr>
          <w:rFonts w:ascii="Arial" w:cs="Arial" w:eastAsia="Arial" w:hAnsi="Arial"/>
        </w:rPr>
        <w:t xml:space="preserve">Figure 11. Disparity-direction quadrant scatter (rom_pct vs ACR ref by race x TR).</w:t>
      </w:r>
    </w:p>
    <w:p>
      <w:pPr>
        <w:pStyle w:val="ListParagraph"/>
        <w:numPr>
          <w:ilvl w:val="0"/>
          <w:numId w:val="2"/>
        </w:numPr>
      </w:pPr>
      <w:r>
        <w:rPr>
          <w:rFonts w:ascii="Arial" w:cs="Arial" w:eastAsia="Arial" w:hAnsi="Arial"/>
        </w:rPr>
        <w:t xml:space="preserve">Figure 12. Bethesda-stratified TR ROM forest.</w:t>
      </w:r>
    </w:p>
    <w:p>
      <w:pPr>
        <w:pStyle w:val="ListParagraph"/>
        <w:numPr>
          <w:ilvl w:val="0"/>
          <w:numId w:val="2"/>
        </w:numPr>
      </w:pPr>
      <w:r>
        <w:rPr>
          <w:rFonts w:ascii="Arial" w:cs="Arial" w:eastAsia="Arial" w:hAnsi="Arial"/>
        </w:rPr>
        <w:t xml:space="preserve">Figure 12b. Per-race x Bethesda x TR ROM heatmap.</w:t>
      </w:r>
    </w:p>
    <w:p>
      <w:pPr>
        <w:pStyle w:val="ListParagraph"/>
        <w:numPr>
          <w:ilvl w:val="0"/>
          <w:numId w:val="2"/>
        </w:numPr>
      </w:pPr>
      <w:r>
        <w:rPr>
          <w:rFonts w:ascii="Arial" w:cs="Arial" w:eastAsia="Arial" w:hAnsi="Arial"/>
        </w:rPr>
        <w:t xml:space="preserve">Figure 13. FNA-pattern subplots by race.</w:t>
      </w:r>
    </w:p>
    <w:p>
      <w:r>
        <w:br w:type="page"/>
      </w:r>
    </w:p>
    <w:p>
      <w:pPr>
        <w:pStyle w:val="Heading1"/>
        <w:spacing w:after="120" w:before="240"/>
      </w:pPr>
      <w:r>
        <w:rPr>
          <w:rFonts w:ascii="Arial" w:cs="Arial" w:eastAsia="Arial" w:hAnsi="Arial"/>
          <w:b/>
          <w:bCs/>
          <w:sz w:val="28"/>
          <w:szCs w:val="28"/>
        </w:rPr>
        <w:t xml:space="preserve">Supplementary materials</w:t>
      </w:r>
    </w:p>
    <w:p>
      <w:pPr>
        <w:pStyle w:val="ListParagraph"/>
        <w:numPr>
          <w:ilvl w:val="0"/>
          <w:numId w:val="2"/>
        </w:numPr>
      </w:pPr>
      <w:r>
        <w:rPr>
          <w:rFonts w:ascii="Arial" w:cs="Arial" w:eastAsia="Arial" w:hAnsi="Arial"/>
        </w:rPr>
        <w:t xml:space="preserve">01_per_patient_analysis_dataset.csv - one research_id per row with all pre-op exposures, FNA pattern, Bethesda category, demographics, post-surgery descriptors.</w:t>
      </w:r>
    </w:p>
    <w:p>
      <w:pPr>
        <w:pStyle w:val="ListParagraph"/>
        <w:numPr>
          <w:ilvl w:val="0"/>
          <w:numId w:val="2"/>
        </w:numPr>
      </w:pPr>
      <w:r>
        <w:rPr>
          <w:rFonts w:ascii="Arial" w:cs="Arial" w:eastAsia="Arial" w:hAnsi="Arial"/>
        </w:rPr>
        <w:t xml:space="preserve">01_per_patient_analysis_dataset_DICTIONARY.csv - column-by-column data dictionary with dtype and notes on dropped / rescaled covariates.</w:t>
      </w:r>
    </w:p>
    <w:p>
      <w:pPr>
        <w:pStyle w:val="ListParagraph"/>
        <w:numPr>
          <w:ilvl w:val="0"/>
          <w:numId w:val="2"/>
        </w:numPr>
      </w:pPr>
      <w:r>
        <w:rPr>
          <w:rFonts w:ascii="Arial" w:cs="Arial" w:eastAsia="Arial" w:hAnsi="Arial"/>
        </w:rPr>
        <w:t xml:space="preserve">02_statistical_analysis_and_findings.md - full methods + findings including all CIs, p-values, attenuation percentages, and the v3.2 bug-history audit trail.</w:t>
      </w:r>
    </w:p>
    <w:p>
      <w:pPr>
        <w:pStyle w:val="ListParagraph"/>
        <w:numPr>
          <w:ilvl w:val="0"/>
          <w:numId w:val="2"/>
        </w:numPr>
      </w:pPr>
      <w:r>
        <w:rPr>
          <w:rFonts w:ascii="Arial" w:cs="Arial" w:eastAsia="Arial" w:hAnsi="Arial"/>
        </w:rPr>
        <w:t xml:space="preserve">03_tables_for_manuscript.xlsx - 13-sheet workbook with every table referenced above plus QA gates and covariate balance.</w:t>
      </w:r>
    </w:p>
    <w:p>
      <w:pPr>
        <w:pStyle w:val="ListParagraph"/>
        <w:numPr>
          <w:ilvl w:val="0"/>
          <w:numId w:val="2"/>
        </w:numPr>
      </w:pPr>
      <w:r>
        <w:rPr>
          <w:rFonts w:ascii="Arial" w:cs="Arial" w:eastAsia="Arial" w:hAnsi="Arial"/>
        </w:rPr>
        <w:t xml:space="preserve">04_manuscript_outline_v3.2.docx - this document.</w:t>
      </w:r>
    </w:p>
    <w:p>
      <w:pPr>
        <w:pStyle w:val="ListParagraph"/>
        <w:numPr>
          <w:ilvl w:val="0"/>
          <w:numId w:val="2"/>
        </w:numPr>
      </w:pPr>
      <w:r>
        <w:rPr>
          <w:rFonts w:ascii="Arial" w:cs="Arial" w:eastAsia="Arial" w:hAnsi="Arial"/>
        </w:rPr>
        <w:t xml:space="preserve">Figures live in M048_submission_package/figures/v3/ in the parent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666666"/>
        <w:sz w:val="18"/>
        <w:szCs w:val="18"/>
      </w:rPr>
      <w:t xml:space="preserve">M048 v3.2 - Racial Disparities in ACR TI-RADS Performance - Draft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2026-05-06T03:53:52.469Z</dcterms:created>
  <dcterms:modified xsi:type="dcterms:W3CDTF">2026-05-06T03:53:52.489Z</dcterms:modified>
</cp:coreProperties>
</file>

<file path=docProps/custom.xml><?xml version="1.0" encoding="utf-8"?>
<Properties xmlns="http://schemas.openxmlformats.org/officeDocument/2006/custom-properties" xmlns:vt="http://schemas.openxmlformats.org/officeDocument/2006/docPropsVTypes"/>
</file>