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Times New Roman" w:cs="Times New Roman" w:eastAsia="Times New Roman" w:hAnsi="Times New Roman"/>
          <w:b/>
          <w:bCs/>
          <w:sz w:val="28"/>
          <w:szCs w:val="28"/>
        </w:rPr>
        <w:t xml:space="preserve">ABSTRACT</w:t>
      </w:r>
    </w:p>
    <w:p>
      <w:pPr>
        <w:spacing w:after="120" w:before="240"/>
      </w:pPr>
      <w:r>
        <w:rPr>
          <w:rFonts w:ascii="Times New Roman" w:cs="Times New Roman" w:eastAsia="Times New Roman" w:hAnsi="Times New Roman"/>
          <w:b/>
          <w:bCs/>
          <w:i/>
          <w:iCs/>
          <w:sz w:val="24"/>
          <w:szCs w:val="24"/>
        </w:rPr>
        <w:t xml:space="preserve">Background</w:t>
      </w:r>
    </w:p>
    <w:p>
      <w:pPr>
        <w:spacing w:after="120" w:line="276"/>
      </w:pPr>
      <w:r>
        <w:rPr>
          <w:rFonts w:ascii="Times New Roman" w:cs="Times New Roman" w:eastAsia="Times New Roman" w:hAnsi="Times New Roman"/>
          <w:sz w:val="24"/>
          <w:szCs w:val="24"/>
        </w:rPr>
        <w:t xml:space="preserve">The AJCC 8th edition removed microscopic extrathyroidal extension (mETE) from T staging, and the 2025 ATA guidelines maintained this approach. However, prior studies remain heterogeneous and have largely relied on staging-derived surrogate endpoints rather than structural disease outcomes. We evaluated whether endpoint selection may explain these differing conclusions in papillary thyroid carcinoma (PTC).</w:t>
      </w:r>
    </w:p>
    <w:p>
      <w:pPr>
        <w:spacing w:after="120" w:before="240"/>
      </w:pPr>
      <w:r>
        <w:rPr>
          <w:rFonts w:ascii="Times New Roman" w:cs="Times New Roman" w:eastAsia="Times New Roman" w:hAnsi="Times New Roman"/>
          <w:b/>
          <w:bCs/>
          <w:i/>
          <w:iCs/>
          <w:sz w:val="24"/>
          <w:szCs w:val="24"/>
        </w:rPr>
        <w:t xml:space="preserve">Methods</w:t>
      </w:r>
    </w:p>
    <w:p>
      <w:pPr>
        <w:spacing w:after="120" w:line="276"/>
      </w:pPr>
      <w:r>
        <w:rPr>
          <w:rFonts w:ascii="Times New Roman" w:cs="Times New Roman" w:eastAsia="Times New Roman" w:hAnsi="Times New Roman"/>
          <w:sz w:val="24"/>
          <w:szCs w:val="24"/>
        </w:rPr>
        <w:t xml:space="preserve">We studied 3,278 PTC patients with pathologist-verified extrathyroidal extension subtyping. The primary endpoint was a 3-tier composite recurrence-risk proxy analyzed using ordinal logistic regression. Structural recurrence, defined by imaging-confirmed pathologic lymphadenopathy or reoperation (504 events), was assessed using propensity score matching (711 pairs), size-stratified models, and interaction testing. CT timing relative to index surgery was examined to assess potential peri-operative ascertainment bias. A parallel systematic review screened 819 studies and included 80.</w:t>
      </w:r>
    </w:p>
    <w:p>
      <w:pPr>
        <w:spacing w:after="120" w:before="240"/>
      </w:pPr>
      <w:r>
        <w:rPr>
          <w:rFonts w:ascii="Times New Roman" w:cs="Times New Roman" w:eastAsia="Times New Roman" w:hAnsi="Times New Roman"/>
          <w:b/>
          <w:bCs/>
          <w:i/>
          <w:iCs/>
          <w:sz w:val="24"/>
          <w:szCs w:val="24"/>
        </w:rPr>
        <w:t xml:space="preserve">Results</w:t>
      </w:r>
    </w:p>
    <w:p>
      <w:pPr>
        <w:spacing w:after="120" w:line="276"/>
      </w:pPr>
      <w:r>
        <w:rPr>
          <w:rFonts w:ascii="Times New Roman" w:cs="Times New Roman" w:eastAsia="Times New Roman" w:hAnsi="Times New Roman"/>
          <w:sz w:val="24"/>
          <w:szCs w:val="24"/>
        </w:rPr>
        <w:t xml:space="preserve">mETE showed differing associations depending on endpoint. For the composite proxy, mETE was associated with lower odds of a higher risk category (OR 0.60, 95% CI 0.51–0.72). In contrast, in the propensity-matched cohort, mETE was associated with higher structural disease (14.5% vs. 10.6%; OR 1.43, p = 0.030). A significant mETE × nodal status interaction (OR 0.36, p = 0.006) suggested that this association was concentrated in node-negative patients. AJCC 8th edition downstaged 71.5% of mETE patients. Among CT-detected pathologic lymphadenopathy events in 331 patients with ≥1 flagged examination, 508 events (40.8%) were preoperative and 73 (5.9%) were perioperative (≤30 days post-surgery), together comprising 46.7% of events likely reflecting staging workup; 174 (14.0%) occurred at 31–365 days; and 490 (39.4%) beyond one year, supporting that the structural endpoint predominantly reflected postoperative disease.</w:t>
      </w:r>
    </w:p>
    <w:p>
      <w:pPr>
        <w:spacing w:after="120" w:before="240"/>
      </w:pPr>
      <w:r>
        <w:rPr>
          <w:rFonts w:ascii="Times New Roman" w:cs="Times New Roman" w:eastAsia="Times New Roman" w:hAnsi="Times New Roman"/>
          <w:b/>
          <w:bCs/>
          <w:i/>
          <w:iCs/>
          <w:sz w:val="24"/>
          <w:szCs w:val="24"/>
        </w:rPr>
        <w:t xml:space="preserve">Conclusions</w:t>
      </w:r>
    </w:p>
    <w:p>
      <w:pPr>
        <w:spacing w:after="120" w:line="276"/>
      </w:pPr>
      <w:r>
        <w:rPr>
          <w:rFonts w:ascii="Times New Roman" w:cs="Times New Roman" w:eastAsia="Times New Roman" w:hAnsi="Times New Roman"/>
          <w:sz w:val="24"/>
          <w:szCs w:val="24"/>
        </w:rPr>
        <w:t xml:space="preserve">These findings suggest that much of the apparent heterogeneity in the literature may reflect endpoint dependence. Although mETE appears favorable or neutral on staging-derived proxies, it was associated with a modest, context-dependent increase in structural disease, particularly in node-negative disease. Overall, these data support continued exclusion of mETE from population-level T staging, while suggesting that mETE may still have value in individualized surveillance discussions.</w:t>
      </w:r>
    </w:p>
    <w:p>
      <w:r>
        <w:br w:type="page"/>
      </w:r>
    </w:p>
    <w:p>
      <w:pPr>
        <w:pStyle w:val="Heading1"/>
        <w:spacing w:after="200" w:before="360"/>
      </w:pPr>
      <w:r>
        <w:rPr>
          <w:rFonts w:ascii="Times New Roman" w:cs="Times New Roman" w:eastAsia="Times New Roman" w:hAnsi="Times New Roman"/>
          <w:b/>
          <w:bCs/>
          <w:sz w:val="28"/>
          <w:szCs w:val="28"/>
        </w:rPr>
        <w:t xml:space="preserve">INTRODUCTION</w:t>
      </w:r>
    </w:p>
    <w:p>
      <w:pPr>
        <w:spacing w:after="120" w:line="276"/>
      </w:pPr>
      <w:r>
        <w:rPr>
          <w:rFonts w:ascii="Times New Roman" w:cs="Times New Roman" w:eastAsia="Times New Roman" w:hAnsi="Times New Roman"/>
          <w:sz w:val="24"/>
          <w:szCs w:val="24"/>
        </w:rPr>
        <w:t xml:space="preserve">Papillary thyroid carcinoma (PTC) accounts for approximately 85% of thyroid cancers, with an estimated 44,020 new cases diagnosed in the United States in 2024.</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Despite excellent long-term survival, management remains contentious regarding the pathologic features that should drive treatment intensity.</w:t>
      </w:r>
      <w:r>
        <w:rPr>
          <w:rFonts w:ascii="Times New Roman" w:cs="Times New Roman" w:eastAsia="Times New Roman" w:hAnsi="Times New Roman"/>
          <w:sz w:val="24"/>
          <w:szCs w:val="24"/>
          <w:vertAlign w:val="superscript"/>
        </w:rPr>
        <w:t xml:space="preserve">2,3</w:t>
      </w:r>
      <w:r>
        <w:rPr>
          <w:rFonts w:ascii="Times New Roman" w:cs="Times New Roman" w:eastAsia="Times New Roman" w:hAnsi="Times New Roman"/>
          <w:sz w:val="24"/>
          <w:szCs w:val="24"/>
        </w:rPr>
        <w:t xml:space="preserve"> Extrathyroidal extension (ETE)—tumor invasion beyond the thyroid capsule—exists along a biological continuum from microscopic perithyroidal soft tissue involvement to gross invasion of adjacent structures.</w:t>
      </w:r>
    </w:p>
    <w:p>
      <w:pPr>
        <w:spacing w:after="120" w:line="276"/>
      </w:pPr>
      <w:r>
        <w:rPr>
          <w:rFonts w:ascii="Times New Roman" w:cs="Times New Roman" w:eastAsia="Times New Roman" w:hAnsi="Times New Roman"/>
          <w:sz w:val="24"/>
          <w:szCs w:val="24"/>
        </w:rPr>
        <w:t xml:space="preserve">The AJCC 7th edition classified any ETE, including microscopic extension, as T3.</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The AJCC 8th edition (2017) removed microscopic extrathyroidal extension (mETE) from T-staging, reserving T3b for gross strap-muscle invasion and T4a/T4b for deeper structures.</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The 2025 ATA guidelines retained the AJCC 8th edition approach of excluding mETE from T-staging while incorporating mETE into postoperative recurrence-risk stratification, emphasizing individualized management rather than automatic treatment escalation.</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The new four-tier framework reduces the weight assigned to isolated mETE at the population level while leaving open the possibility that its association with recurrence varies by clinical context, including nodal status.</w:t>
      </w:r>
    </w:p>
    <w:p>
      <w:pPr>
        <w:spacing w:after="120" w:line="276"/>
      </w:pPr>
      <w:r>
        <w:rPr>
          <w:rFonts w:ascii="Times New Roman" w:cs="Times New Roman" w:eastAsia="Times New Roman" w:hAnsi="Times New Roman"/>
          <w:sz w:val="24"/>
          <w:szCs w:val="24"/>
        </w:rPr>
        <w:t xml:space="preserve">Despite this consensus, published evidence is strikingly heterogeneous. A supplementary literature review (819 studies screened, 80 extracted) suggests that conflicting findings are driven by tumor size, patient age, treatment intensity, and—critically—endpoint selection. Large population-based studies (Bortz et al., N = 177,497; Liu et al., N = 107,114) consistently report mETE-associated survival decrements using endpoints independent of staging classification.</w:t>
      </w:r>
      <w:r>
        <w:rPr>
          <w:rFonts w:ascii="Times New Roman" w:cs="Times New Roman" w:eastAsia="Times New Roman" w:hAnsi="Times New Roman"/>
          <w:sz w:val="24"/>
          <w:szCs w:val="24"/>
          <w:vertAlign w:val="superscript"/>
        </w:rPr>
        <w:t xml:space="preserve">7,8</w:t>
      </w:r>
      <w:r>
        <w:rPr>
          <w:rFonts w:ascii="Times New Roman" w:cs="Times New Roman" w:eastAsia="Times New Roman" w:hAnsi="Times New Roman"/>
          <w:sz w:val="24"/>
          <w:szCs w:val="24"/>
        </w:rPr>
        <w:t xml:space="preserve"> Conversely, studies using staging-derived proxies or examining selected low-risk populations find no independent effect.</w:t>
      </w:r>
      <w:r>
        <w:rPr>
          <w:rFonts w:ascii="Times New Roman" w:cs="Times New Roman" w:eastAsia="Times New Roman" w:hAnsi="Times New Roman"/>
          <w:sz w:val="24"/>
          <w:szCs w:val="24"/>
          <w:vertAlign w:val="superscript"/>
        </w:rPr>
        <w:t xml:space="preserve">9,10</w:t>
      </w:r>
      <w:r>
        <w:rPr>
          <w:rFonts w:ascii="Times New Roman" w:cs="Times New Roman" w:eastAsia="Times New Roman" w:hAnsi="Times New Roman"/>
          <w:sz w:val="24"/>
          <w:szCs w:val="24"/>
        </w:rPr>
        <w:t xml:space="preserve"> The seed papers illustrate this tension: Parvathareddy et al. (2021; N = 1,430) found mETE independently predicted recurrence (HR 1.75) on a structural endpoint,</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whereas Patti et al. (2023; N = 100) reported that modified ATA risk downstaging mETE improved specificity on a staging-derived proxy.</w:t>
      </w:r>
      <w:r>
        <w:rPr>
          <w:rFonts w:ascii="Times New Roman" w:cs="Times New Roman" w:eastAsia="Times New Roman" w:hAnsi="Times New Roman"/>
          <w:sz w:val="24"/>
          <w:szCs w:val="24"/>
          <w:vertAlign w:val="superscript"/>
        </w:rPr>
        <w:t xml:space="preserve">12</w:t>
      </w:r>
    </w:p>
    <w:p>
      <w:pPr>
        <w:spacing w:after="120" w:line="276"/>
      </w:pPr>
      <w:r>
        <w:rPr>
          <w:rFonts w:ascii="Times New Roman" w:cs="Times New Roman" w:eastAsia="Times New Roman" w:hAnsi="Times New Roman"/>
          <w:sz w:val="24"/>
          <w:szCs w:val="24"/>
        </w:rPr>
        <w:t xml:space="preserve">This endpoint-dependency has not been formally evaluated. To our knowledge, few studies have directly compared staging-derived proxy outcomes and structural disease endpoints for mETE within the same cohort, and none have tested formal interaction terms (mETE × nodal status, size, age) to identify the clinical contexts where mETE carries prognostic relevance.</w:t>
      </w:r>
    </w:p>
    <w:p>
      <w:pPr>
        <w:spacing w:after="120" w:line="276"/>
      </w:pPr>
      <w:r>
        <w:rPr>
          <w:rFonts w:ascii="Times New Roman" w:cs="Times New Roman" w:eastAsia="Times New Roman" w:hAnsi="Times New Roman"/>
          <w:sz w:val="24"/>
          <w:szCs w:val="24"/>
        </w:rPr>
        <w:t xml:space="preserve">We analyzed 3,278 PTC patients with validated three-tier ETE classification using both a composite recurrence risk band and a structural disease endpoint. Propensity score matching isolated the mETE effect on structural disease; formal interaction tests identified potential effect modifiers. CT imaging timing was characterized to determine the fraction of structural endpoint events attributable to post-operative disease versus peri-operative staging workup. We hypothesized that mETE carries context-dependent prognostic significance that is masked by composite proxies but detectable on structural disease—particularly in node-negative patients and larger tumors.</w:t>
      </w:r>
    </w:p>
    <w:p>
      <w:r>
        <w:br w:type="page"/>
      </w:r>
    </w:p>
    <w:p>
      <w:pPr>
        <w:pStyle w:val="Heading1"/>
        <w:spacing w:after="200" w:before="360"/>
      </w:pPr>
      <w:r>
        <w:rPr>
          <w:rFonts w:ascii="Times New Roman" w:cs="Times New Roman" w:eastAsia="Times New Roman" w:hAnsi="Times New Roman"/>
          <w:b/>
          <w:bCs/>
          <w:sz w:val="28"/>
          <w:szCs w:val="28"/>
        </w:rPr>
        <w:t xml:space="preserve">METHODS</w:t>
      </w:r>
    </w:p>
    <w:p>
      <w:pPr>
        <w:spacing w:after="120" w:before="240"/>
      </w:pPr>
      <w:r>
        <w:rPr>
          <w:rFonts w:ascii="Times New Roman" w:cs="Times New Roman" w:eastAsia="Times New Roman" w:hAnsi="Times New Roman"/>
          <w:b/>
          <w:bCs/>
          <w:i/>
          <w:iCs/>
          <w:sz w:val="24"/>
          <w:szCs w:val="24"/>
        </w:rPr>
        <w:t xml:space="preserve">Study Design and Data Source</w:t>
      </w:r>
    </w:p>
    <w:p>
      <w:pPr>
        <w:spacing w:after="120" w:line="276"/>
      </w:pPr>
      <w:r>
        <w:rPr>
          <w:rFonts w:ascii="Times New Roman" w:cs="Times New Roman" w:eastAsia="Times New Roman" w:hAnsi="Times New Roman"/>
          <w:sz w:val="24"/>
          <w:szCs w:val="24"/>
        </w:rPr>
        <w:t xml:space="preserve">We conducted a retrospective cohort study at a single academic tertiary center. Patient data were drawn from a structured institutional thyroid cancer research database containing 11,673 patients. The analytic code and derived views used to build the study cohort are described in the Supplement and publicly archived (https://doi.org/10.5281/zenodo.18945510). To characterize CT imaging timing, we linked all CT date entries in the institutional database to each patient’s first surgery date, achieving 100% date coverage after recovering 50 previously missing dates from free-text radiology reports using natural language processing. The study was approved by institutional review board approval; informed consent was waived (see Ethical Approval).</w:t>
      </w:r>
    </w:p>
    <w:p>
      <w:pPr>
        <w:spacing w:after="120" w:before="240"/>
      </w:pPr>
      <w:r>
        <w:rPr>
          <w:rFonts w:ascii="Times New Roman" w:cs="Times New Roman" w:eastAsia="Times New Roman" w:hAnsi="Times New Roman"/>
          <w:b/>
          <w:bCs/>
          <w:i/>
          <w:iCs/>
          <w:sz w:val="24"/>
          <w:szCs w:val="24"/>
        </w:rPr>
        <w:t xml:space="preserve">Study Population</w:t>
      </w:r>
    </w:p>
    <w:p>
      <w:pPr>
        <w:spacing w:after="120" w:line="276"/>
      </w:pPr>
      <w:r>
        <w:rPr>
          <w:rFonts w:ascii="Times New Roman" w:cs="Times New Roman" w:eastAsia="Times New Roman" w:hAnsi="Times New Roman"/>
          <w:sz w:val="24"/>
          <w:szCs w:val="24"/>
        </w:rPr>
        <w:t xml:space="preserve">The primary cohort included 3,278 PTC patients (all histologic variants) who had complete ETE classification, AJCC 8th edition staging, and a derivable recurrence risk band (Fig. 1). Two pre-specified subgroups were also analyzed: classic-variant only (N = 596) and an aggressive-variant safety analysis (N = 197).</w:t>
      </w:r>
    </w:p>
    <w:p>
      <w:pPr>
        <w:spacing w:after="120" w:before="240"/>
      </w:pPr>
      <w:r>
        <w:rPr>
          <w:rFonts w:ascii="Times New Roman" w:cs="Times New Roman" w:eastAsia="Times New Roman" w:hAnsi="Times New Roman"/>
          <w:b/>
          <w:bCs/>
          <w:i/>
          <w:iCs/>
          <w:sz w:val="24"/>
          <w:szCs w:val="24"/>
        </w:rPr>
        <w:t xml:space="preserve">Variable Definitions</w:t>
      </w:r>
    </w:p>
    <w:p>
      <w:pPr>
        <w:spacing w:after="120" w:line="276"/>
      </w:pPr>
      <w:r>
        <w:rPr>
          <w:rFonts w:ascii="Times New Roman" w:cs="Times New Roman" w:eastAsia="Times New Roman" w:hAnsi="Times New Roman"/>
          <w:b/>
          <w:bCs/>
          <w:i/>
          <w:iCs/>
          <w:sz w:val="24"/>
          <w:szCs w:val="24"/>
        </w:rPr>
        <w:t xml:space="preserve">Extrathyroidal extension. </w:t>
      </w:r>
      <w:r>
        <w:rPr>
          <w:rFonts w:ascii="Times New Roman" w:cs="Times New Roman" w:eastAsia="Times New Roman" w:hAnsi="Times New Roman"/>
          <w:sz w:val="24"/>
          <w:szCs w:val="24"/>
        </w:rPr>
        <w:t xml:space="preserve">ETE was classified into three mutually exclusive categories based on pathologist review of surgical specimens, with operative notes used secondarily for gross ETE confirmation: (a) No ETE; (b) Microscopic ETE (mETE); (c) Gross ETE (encompassing T3b and T4a). Preoperative imaging (ultrasound, CT) was not used to define ETE. Classification criteria and variable derivation are detailed in the Supplement.</w:t>
      </w:r>
    </w:p>
    <w:p>
      <w:pPr>
        <w:spacing w:after="120" w:line="276"/>
      </w:pPr>
      <w:r>
        <w:rPr>
          <w:rFonts w:ascii="Times New Roman" w:cs="Times New Roman" w:eastAsia="Times New Roman" w:hAnsi="Times New Roman"/>
          <w:b/>
          <w:bCs/>
          <w:i/>
          <w:iCs/>
          <w:sz w:val="24"/>
          <w:szCs w:val="24"/>
        </w:rPr>
        <w:t xml:space="preserve">Primary analysis outcome: composite recurrence risk band. </w:t>
      </w:r>
      <w:r>
        <w:rPr>
          <w:rFonts w:ascii="Times New Roman" w:cs="Times New Roman" w:eastAsia="Times New Roman" w:hAnsi="Times New Roman"/>
          <w:sz w:val="24"/>
          <w:szCs w:val="24"/>
        </w:rPr>
        <w:t xml:space="preserve">This was a three-tier proxy outcome (low, intermediate, or high risk) derived from AJCC 8th edition stage, gross ETE status, and peak thyroglobulin level. An important caveat: because gross ETE is built directly into the high-risk definition, the gross ETE regression coefficient is circular and cannot be interpreted. The mETE coefficient—our variable of interest—is not part of the derivation and can be estimated, though its interpretation is still shaped by the staging- and thyroglobulin-derived nature of the outcome.</w:t>
      </w:r>
    </w:p>
    <w:p>
      <w:pPr>
        <w:spacing w:after="120" w:line="276"/>
      </w:pPr>
      <w:r>
        <w:rPr>
          <w:rFonts w:ascii="Times New Roman" w:cs="Times New Roman" w:eastAsia="Times New Roman" w:hAnsi="Times New Roman"/>
          <w:b/>
          <w:bCs/>
          <w:i/>
          <w:iCs/>
          <w:sz w:val="24"/>
          <w:szCs w:val="24"/>
        </w:rPr>
        <w:t xml:space="preserve">Secondary analysis outcome: structural disease endpoint. </w:t>
      </w:r>
      <w:r>
        <w:rPr>
          <w:rFonts w:ascii="Times New Roman" w:cs="Times New Roman" w:eastAsia="Times New Roman" w:hAnsi="Times New Roman"/>
          <w:sz w:val="24"/>
          <w:szCs w:val="24"/>
        </w:rPr>
        <w:t xml:space="preserve">We defined structural disease as cross-sectional imaging evidence of pathologic lymphadenopathy on CT or MRI, or reoperation. Neck ultrasound was not included in the endpoint definition. Because this definition may capture persistent disease (never fully cleared after initial surgery) as well as true recurrence, we refer to it as a structural disease endpoint throughout. A total of 504 of 3,278 patients (15.4%) met this endpoint. Disease-free survival (DFS) was measured from the surgery date to the last thyroglobulin measurement, with censoring based on structural endpoint status.</w:t>
      </w:r>
    </w:p>
    <w:p>
      <w:pPr>
        <w:spacing w:after="120" w:line="276"/>
      </w:pPr>
      <w:r>
        <w:rPr>
          <w:rFonts w:ascii="Times New Roman" w:cs="Times New Roman" w:eastAsia="Times New Roman" w:hAnsi="Times New Roman"/>
          <w:b/>
          <w:bCs/>
          <w:i/>
          <w:iCs/>
          <w:sz w:val="24"/>
          <w:szCs w:val="24"/>
        </w:rPr>
        <w:t xml:space="preserve">CT imaging timing. </w:t>
      </w:r>
      <w:r>
        <w:rPr>
          <w:rFonts w:ascii="Times New Roman" w:cs="Times New Roman" w:eastAsia="Times New Roman" w:hAnsi="Times New Roman"/>
          <w:sz w:val="24"/>
          <w:szCs w:val="24"/>
        </w:rPr>
        <w:t xml:space="preserve">To assess potential peri-operative ascertainment bias, we linked 3,018 CT examination rows among 650 PTC patients to each patient’s first surgery date, classifying each by timing: preoperative, perioperative (≤30 days post-surgery), postoperative 30 days–1 year, or postoperative &gt;1 year. Among these, 331 patients had ≥1 pathologic-lymphadenopathy-flagged examination, accounting for 1,245 flagged examination rows.</w:t>
      </w:r>
    </w:p>
    <w:p>
      <w:pPr>
        <w:spacing w:after="120" w:line="276"/>
      </w:pPr>
      <w:r>
        <w:rPr>
          <w:rFonts w:ascii="Times New Roman" w:cs="Times New Roman" w:eastAsia="Times New Roman" w:hAnsi="Times New Roman"/>
          <w:b/>
          <w:bCs/>
          <w:i/>
          <w:iCs/>
          <w:sz w:val="24"/>
          <w:szCs w:val="24"/>
        </w:rPr>
        <w:t xml:space="preserve">Covariates. </w:t>
      </w:r>
      <w:r>
        <w:rPr>
          <w:rFonts w:ascii="Times New Roman" w:cs="Times New Roman" w:eastAsia="Times New Roman" w:hAnsi="Times New Roman"/>
          <w:sz w:val="24"/>
          <w:szCs w:val="24"/>
        </w:rPr>
        <w:t xml:space="preserve">We adjusted for age at surgery, sex, largest tumor size (cm), and lymph node ratio (the proportion of examined nodes that were positive). In practice, the lymph node ratio functioned as a binary indicator— 99.0% of values were either 0 or 1—and is labeled accordingly in Table 2. M-stage was meaningfully available (M0 or M1) for only 241 of 3,278 patients (7.4%); missing and MX values were defaulted to M0. A sensitivity analysis excluding patients with missing M-stage confirmed this coding did not materially affect the primary mETE estimate (Supplementary Table S8).</w:t>
      </w:r>
    </w:p>
    <w:p>
      <w:pPr>
        <w:spacing w:after="120" w:before="240"/>
      </w:pPr>
      <w:r>
        <w:rPr>
          <w:rFonts w:ascii="Times New Roman" w:cs="Times New Roman" w:eastAsia="Times New Roman" w:hAnsi="Times New Roman"/>
          <w:b/>
          <w:bCs/>
          <w:i/>
          <w:iCs/>
          <w:sz w:val="24"/>
          <w:szCs w:val="24"/>
        </w:rPr>
        <w:t xml:space="preserve">Statistical Analysis</w:t>
      </w:r>
    </w:p>
    <w:p>
      <w:pPr>
        <w:spacing w:after="120" w:line="276"/>
      </w:pPr>
      <w:r>
        <w:rPr>
          <w:rFonts w:ascii="Times New Roman" w:cs="Times New Roman" w:eastAsia="Times New Roman" w:hAnsi="Times New Roman"/>
          <w:b/>
          <w:bCs/>
          <w:i/>
          <w:iCs/>
          <w:sz w:val="24"/>
          <w:szCs w:val="24"/>
        </w:rPr>
        <w:t xml:space="preserve">Primary analysis. </w:t>
      </w:r>
      <w:r>
        <w:rPr>
          <w:rFonts w:ascii="Times New Roman" w:cs="Times New Roman" w:eastAsia="Times New Roman" w:hAnsi="Times New Roman"/>
          <w:sz w:val="24"/>
          <w:szCs w:val="24"/>
        </w:rPr>
        <w:t xml:space="preserve">We used ordinal logistic regression (a proportional odds model, which compares ordered risk categories) to model the composite risk band, adjusting for age, sex, tumor size, and lymph node ratio. The proportional odds assumption—that the effect of each predictor is consistent across risk-band thresholds—was tested and confirmed for mETE (coefficient difference across cut-points: 0.23). The gross ETE variable violated this assumption (difference: 8.12), consistent with its circularity in the outcome. We assessed model discrimination using apparent and five-fold cross-validated AUC. Sensitivity analyses included multiple imputation (m = 20), age-stratified models (≥55 vs. &lt;55), restriction to tumors ≤4 cm, and a classic-variant subgroup.</w:t>
      </w:r>
    </w:p>
    <w:p>
      <w:pPr>
        <w:spacing w:after="120" w:line="276"/>
      </w:pPr>
      <w:r>
        <w:rPr>
          <w:rFonts w:ascii="Times New Roman" w:cs="Times New Roman" w:eastAsia="Times New Roman" w:hAnsi="Times New Roman"/>
          <w:b/>
          <w:bCs/>
          <w:i/>
          <w:iCs/>
          <w:sz w:val="24"/>
          <w:szCs w:val="24"/>
        </w:rPr>
        <w:t xml:space="preserve">Structural disease analysis. </w:t>
      </w:r>
      <w:r>
        <w:rPr>
          <w:rFonts w:ascii="Times New Roman" w:cs="Times New Roman" w:eastAsia="Times New Roman" w:hAnsi="Times New Roman"/>
          <w:sz w:val="24"/>
          <w:szCs w:val="24"/>
        </w:rPr>
        <w:t xml:space="preserve">To isolate the mETE effect on structural disease, we used propensity score matching (PSM)—a technique that pairs mETE and no-ETE patients who are otherwise similar on measured covariates. Gross ETE patients were excluded. Propensity scores were estimated via logistic regression on age, sex, tumor size, and N1 status (any positive lymph node). We used nearest-neighbor matching with a caliper of 0.05. The matched effect was estimated as an odds ratio using Fisher’s exact test. Covariate balance was assessed with standardized mean differences (SMD; target &lt;0.10). Matched DFS was compared using Kaplan–Meier curves and log-rank testing.</w:t>
      </w:r>
    </w:p>
    <w:p>
      <w:pPr>
        <w:spacing w:after="120" w:line="276"/>
      </w:pPr>
      <w:r>
        <w:rPr>
          <w:rFonts w:ascii="Times New Roman" w:cs="Times New Roman" w:eastAsia="Times New Roman" w:hAnsi="Times New Roman"/>
          <w:b/>
          <w:bCs/>
          <w:i/>
          <w:iCs/>
          <w:sz w:val="24"/>
          <w:szCs w:val="24"/>
        </w:rPr>
        <w:t xml:space="preserve">CT imaging timing analysis. </w:t>
      </w:r>
      <w:r>
        <w:rPr>
          <w:rFonts w:ascii="Times New Roman" w:cs="Times New Roman" w:eastAsia="Times New Roman" w:hAnsi="Times New Roman"/>
          <w:sz w:val="24"/>
          <w:szCs w:val="24"/>
        </w:rPr>
        <w:t xml:space="preserve">For each CT-detected pathologic lymphadenopathy event among the 331 flagged patients (1,245 events), we calculated the number of days from the index surgery and classified it into mutually exclusive timing categories: preoperative, perioperative (≤30 days post-surgery), postoperative 31–365 days, and postoperative &gt;365 days. The rationale: preoperative and perioperative CT events likely reflect staging workup rather than true recurrence. If this misclassification is non-differential by ETE status—meaning it affects mETE and no-ETE patients equally—it would bias the estimated association toward the null. However, we cannot exclude differential postoperative imaging intensity once clinicians know the mETE finding.</w:t>
      </w:r>
    </w:p>
    <w:p>
      <w:pPr>
        <w:spacing w:after="120" w:line="276"/>
      </w:pPr>
      <w:r>
        <w:rPr>
          <w:rFonts w:ascii="Times New Roman" w:cs="Times New Roman" w:eastAsia="Times New Roman" w:hAnsi="Times New Roman"/>
          <w:b/>
          <w:bCs/>
          <w:i/>
          <w:iCs/>
          <w:sz w:val="24"/>
          <w:szCs w:val="24"/>
        </w:rPr>
        <w:t xml:space="preserve">Interaction and stratified analyses. </w:t>
      </w:r>
      <w:r>
        <w:rPr>
          <w:rFonts w:ascii="Times New Roman" w:cs="Times New Roman" w:eastAsia="Times New Roman" w:hAnsi="Times New Roman"/>
          <w:sz w:val="24"/>
          <w:szCs w:val="24"/>
        </w:rPr>
        <w:t xml:space="preserve">We tested three pre-specified interaction terms in logistic regression models for structural disease: mETE × tumor size, mETE × age, and mETE × nodal status. We also ran separate models within tumor-size strata (≤1, 1–2, and 2–4 cm). All interaction terms and stratified models were pre-specified in the analysis plan (archived repository: https://doi.org/10.5281/zenodo.18945510).</w:t>
      </w:r>
    </w:p>
    <w:p>
      <w:pPr>
        <w:spacing w:after="120" w:before="240"/>
      </w:pPr>
      <w:r>
        <w:rPr>
          <w:rFonts w:ascii="Times New Roman" w:cs="Times New Roman" w:eastAsia="Times New Roman" w:hAnsi="Times New Roman"/>
          <w:b/>
          <w:bCs/>
          <w:i/>
          <w:iCs/>
          <w:sz w:val="24"/>
          <w:szCs w:val="24"/>
        </w:rPr>
        <w:t xml:space="preserve">Supplementary Literature Review</w:t>
      </w:r>
    </w:p>
    <w:p>
      <w:pPr>
        <w:spacing w:after="120" w:line="276"/>
      </w:pPr>
      <w:r>
        <w:rPr>
          <w:rFonts w:ascii="Times New Roman" w:cs="Times New Roman" w:eastAsia="Times New Roman" w:hAnsi="Times New Roman"/>
          <w:sz w:val="24"/>
          <w:szCs w:val="24"/>
        </w:rPr>
        <w:t xml:space="preserve">A supplementary literature review was conducted using predefined eligibility criteria and structured extraction (819 studies screened, 80 extracted). Detailed search sources, dates, screening workflow, and the role of AI-assisted tools are provided in Supplementary Methods.</w:t>
      </w:r>
    </w:p>
    <w:p>
      <w:pPr>
        <w:spacing w:after="120" w:line="276"/>
      </w:pPr>
      <w:r>
        <w:rPr>
          <w:rFonts w:ascii="Times New Roman" w:cs="Times New Roman" w:eastAsia="Times New Roman" w:hAnsi="Times New Roman"/>
          <w:sz w:val="24"/>
          <w:szCs w:val="24"/>
        </w:rPr>
        <w:t xml:space="preserve">All analyses were performed in Python 3.14.2 with a fixed random seed of 42. Code is archived at https://doi.org/10.5281/zenodo.18945510. Two-sided p &lt; 0.05 was considered significant.</w:t>
      </w:r>
    </w:p>
    <w:p>
      <w:r>
        <w:br w:type="page"/>
      </w:r>
    </w:p>
    <w:p>
      <w:pPr>
        <w:pStyle w:val="Heading1"/>
        <w:spacing w:after="200" w:before="360"/>
      </w:pPr>
      <w:r>
        <w:rPr>
          <w:rFonts w:ascii="Times New Roman" w:cs="Times New Roman" w:eastAsia="Times New Roman" w:hAnsi="Times New Roman"/>
          <w:b/>
          <w:bCs/>
          <w:sz w:val="28"/>
          <w:szCs w:val="28"/>
        </w:rPr>
        <w:t xml:space="preserve">RESULTS</w:t>
      </w:r>
    </w:p>
    <w:p>
      <w:pPr>
        <w:spacing w:after="120" w:before="240"/>
      </w:pPr>
      <w:r>
        <w:rPr>
          <w:rFonts w:ascii="Times New Roman" w:cs="Times New Roman" w:eastAsia="Times New Roman" w:hAnsi="Times New Roman"/>
          <w:b/>
          <w:bCs/>
          <w:i/>
          <w:iCs/>
          <w:sz w:val="24"/>
          <w:szCs w:val="24"/>
        </w:rPr>
        <w:t xml:space="preserve">Cohort Characteristics</w:t>
      </w:r>
    </w:p>
    <w:p>
      <w:pPr>
        <w:spacing w:after="120" w:line="276"/>
      </w:pPr>
      <w:r>
        <w:rPr>
          <w:rFonts w:ascii="Times New Roman" w:cs="Times New Roman" w:eastAsia="Times New Roman" w:hAnsi="Times New Roman"/>
          <w:sz w:val="24"/>
          <w:szCs w:val="24"/>
        </w:rPr>
        <w:t xml:space="preserve">The expanded cohort comprised 3,278 PTC patients (Table 1; Fig. 1). Mean age 49.8 ± 15.4 years; 75.0% female. ETE distribution: no ETE 724 (22.1%), microscopic ETE (mETE) 1,736 (53.0%), gross ETE 818 (25.0%). Aggressive variants comprised 6.0% (N = 197); on safety analysis, mETE was non-significant in this subgroup (OR 0.94, p = 0.901) but significant in the non-aggressive majority (OR 0.59, p &lt; 0.001). Structural disease rates were: no ETE 10.5% (76/724), mETE 15.6% (270/1,736), gross ETE 19.3% (158/818). Baseline N1 prevalence increased across ETE groups: no ETE 56.9%, mETE 67.2%, gross ETE 74.7%.</w:t>
      </w:r>
    </w:p>
    <w:p>
      <w:pPr>
        <w:spacing w:after="120" w:before="240"/>
      </w:pPr>
      <w:r>
        <w:rPr>
          <w:rFonts w:ascii="Times New Roman" w:cs="Times New Roman" w:eastAsia="Times New Roman" w:hAnsi="Times New Roman"/>
          <w:b/>
          <w:bCs/>
          <w:i/>
          <w:iCs/>
          <w:sz w:val="24"/>
          <w:szCs w:val="24"/>
        </w:rPr>
        <w:t xml:space="preserve">Stage Migration</w:t>
      </w:r>
    </w:p>
    <w:p>
      <w:pPr>
        <w:spacing w:after="120" w:line="276"/>
      </w:pPr>
      <w:r>
        <w:rPr>
          <w:rFonts w:ascii="Times New Roman" w:cs="Times New Roman" w:eastAsia="Times New Roman" w:hAnsi="Times New Roman"/>
          <w:sz w:val="24"/>
          <w:szCs w:val="24"/>
        </w:rPr>
        <w:t xml:space="preserve">Among 1,736 mETE patients, 1,241 (71.5%) experienced T-stage downstaging from AJCC 7th to 8th edition. Overall, 1,872/3,269 evaluable (57.3%) were downstaged; 12 were upstaged (McNemar p &lt; 0.001). These rates are concordant with the literature range of 23–70.5%.</w:t>
      </w:r>
      <w:r>
        <w:rPr>
          <w:rFonts w:ascii="Times New Roman" w:cs="Times New Roman" w:eastAsia="Times New Roman" w:hAnsi="Times New Roman"/>
          <w:sz w:val="24"/>
          <w:szCs w:val="24"/>
          <w:vertAlign w:val="superscript"/>
        </w:rPr>
        <w:t xml:space="preserve">14–17</w:t>
      </w:r>
      <w:r>
        <w:rPr>
          <w:rFonts w:ascii="Times New Roman" w:cs="Times New Roman" w:eastAsia="Times New Roman" w:hAnsi="Times New Roman"/>
          <w:sz w:val="24"/>
          <w:szCs w:val="24"/>
        </w:rPr>
        <w:t xml:space="preserve"> Detailed stage migration data are provided in Supplementary Table S2.</w:t>
      </w:r>
    </w:p>
    <w:p>
      <w:pPr>
        <w:spacing w:after="120" w:before="240"/>
      </w:pPr>
      <w:r>
        <w:rPr>
          <w:rFonts w:ascii="Times New Roman" w:cs="Times New Roman" w:eastAsia="Times New Roman" w:hAnsi="Times New Roman"/>
          <w:b/>
          <w:bCs/>
          <w:i/>
          <w:iCs/>
          <w:sz w:val="24"/>
          <w:szCs w:val="24"/>
        </w:rPr>
        <w:t xml:space="preserve">Primary Analysis: Composite Risk Band</w:t>
      </w:r>
    </w:p>
    <w:p>
      <w:pPr>
        <w:spacing w:after="120" w:line="276"/>
      </w:pPr>
      <w:r>
        <w:rPr>
          <w:rFonts w:ascii="Times New Roman" w:cs="Times New Roman" w:eastAsia="Times New Roman" w:hAnsi="Times New Roman"/>
          <w:sz w:val="24"/>
          <w:szCs w:val="24"/>
        </w:rPr>
        <w:t xml:space="preserve">On ordinal logistic regression (Table 2; N = 3,269 complete cases), mETE was inversely associated with higher risk (OR 0.60, 95% CI 0.51–0.72, p &lt; 0.001). The gross ETE coefficient was uninterpretable (OR ≈4 × 10</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p = 0.979) due to 100% of gross ETE patients mapping to high risk by the outcome derivation logic. Age (OR 1.05), tumor size (OR 1.07), sex (OR 0.83 female), and LN ratio binary indicator (OR 1.31) were also significant. Cross-validated ΔAUC = 0.025 (base CV-AUC 0.851 ± 0.020; full 0.876 ± 0.010). Multiple imputation confirmed: mETE OR 0.60 (0.50–0.72). The age ≥55 subgroup showed attenuation (OR 0.87, p = 0.352; Supplementary Table S3).</w:t>
      </w:r>
    </w:p>
    <w:p>
      <w:pPr>
        <w:spacing w:after="120" w:before="240"/>
      </w:pPr>
      <w:r>
        <w:rPr>
          <w:rFonts w:ascii="Times New Roman" w:cs="Times New Roman" w:eastAsia="Times New Roman" w:hAnsi="Times New Roman"/>
          <w:b/>
          <w:bCs/>
          <w:i/>
          <w:iCs/>
          <w:sz w:val="24"/>
          <w:szCs w:val="24"/>
        </w:rPr>
        <w:t xml:space="preserve">Structural Disease: Propensity-Matched Analysis</w:t>
      </w:r>
    </w:p>
    <w:p>
      <w:pPr>
        <w:spacing w:after="120" w:line="276"/>
      </w:pPr>
      <w:r>
        <w:rPr>
          <w:rFonts w:ascii="Times New Roman" w:cs="Times New Roman" w:eastAsia="Times New Roman" w:hAnsi="Times New Roman"/>
          <w:sz w:val="24"/>
          <w:szCs w:val="24"/>
        </w:rPr>
        <w:t xml:space="preserve">PSM yielded 711 matched pairs (Table 3). Matched mETE patients had higher structural disease rates than matched controls (14.5% vs. 10.6%; risk difference 3.9 percentage points; OR 1.43, 95% CI 1.04–2.00, Fisher p = 0.030). Kaplan–Meier analysis showed persistent separation from year 1 onward (log-rank p &lt; 0.001; Fig. 2).</w:t>
      </w:r>
    </w:p>
    <w:p>
      <w:pPr>
        <w:spacing w:after="120" w:line="276"/>
      </w:pPr>
      <w:r>
        <w:rPr>
          <w:rFonts w:ascii="Times New Roman" w:cs="Times New Roman" w:eastAsia="Times New Roman" w:hAnsi="Times New Roman"/>
          <w:sz w:val="24"/>
          <w:szCs w:val="24"/>
        </w:rPr>
        <w:t xml:space="preserve">This result diverges directionally from the composite proxy (OR 0.60). The divergence suggests that staging-derived proxy outcomes can yield materially different estimates than classification-independent structural disease endpoints: the proxy incorporates AJCC 8th staging, which by definition excludes mETE from T-classification; the structural endpoint is classification-independent.</w:t>
      </w:r>
    </w:p>
    <w:p>
      <w:pPr>
        <w:spacing w:after="120" w:line="276"/>
      </w:pPr>
      <w:r>
        <w:rPr>
          <w:rFonts w:ascii="Times New Roman" w:cs="Times New Roman" w:eastAsia="Times New Roman" w:hAnsi="Times New Roman"/>
          <w:b/>
          <w:bCs/>
          <w:sz w:val="24"/>
          <w:szCs w:val="24"/>
        </w:rPr>
        <w:t xml:space="preserve">PSM balance caveat. </w:t>
      </w:r>
      <w:r>
        <w:rPr>
          <w:rFonts w:ascii="Times New Roman" w:cs="Times New Roman" w:eastAsia="Times New Roman" w:hAnsi="Times New Roman"/>
          <w:sz w:val="24"/>
          <w:szCs w:val="24"/>
        </w:rPr>
        <w:t xml:space="preserve">Post-matching SMDs exceeded conventional thresholds for nodal status (SMD = −0.576) and age (SMD = −0.213), indicating incomplete covariate balance. Matched mETE patients were younger with fewer positive nodes. Because important residual imbalance remained after matching, the structural-endpoint estimate should be interpreted as exploratory rather than confirmatory.</w:t>
      </w:r>
    </w:p>
    <w:p>
      <w:pPr>
        <w:spacing w:after="120" w:before="240"/>
      </w:pPr>
      <w:r>
        <w:rPr>
          <w:rFonts w:ascii="Times New Roman" w:cs="Times New Roman" w:eastAsia="Times New Roman" w:hAnsi="Times New Roman"/>
          <w:b/>
          <w:bCs/>
          <w:i/>
          <w:iCs/>
          <w:sz w:val="24"/>
          <w:szCs w:val="24"/>
        </w:rPr>
        <w:t xml:space="preserve">CT Imaging Timing Characterization</w:t>
      </w:r>
    </w:p>
    <w:p>
      <w:pPr>
        <w:spacing w:after="120" w:line="276"/>
      </w:pPr>
      <w:r>
        <w:rPr>
          <w:rFonts w:ascii="Times New Roman" w:cs="Times New Roman" w:eastAsia="Times New Roman" w:hAnsi="Times New Roman"/>
          <w:sz w:val="24"/>
          <w:szCs w:val="24"/>
        </w:rPr>
        <w:t xml:space="preserve">Among 331 PTC patients with ≥1 pathologic-lymphadenopathy-flagged CT examination, 1,245 total CT imaging events were characterized by timing relative to the index surgery (Supplementary Table S4). Using mutually exclusive intervals: 508 events (40.8%) were preoperative and 73 (5.9%) were perioperative (within 30 days post-surgery), together comprising 581 events (46.7%) likely reflecting staging workup; 174 events (14.0%) occurred 31–365 days post-surgery, compatible with postoperative disease detection; and 490 events (39.4%) occurred more than one year post-surgery, representing the strongest evidence of delayed structural disease.</w:t>
      </w:r>
    </w:p>
    <w:p>
      <w:pPr>
        <w:spacing w:after="120" w:line="276"/>
      </w:pPr>
      <w:r>
        <w:rPr>
          <w:rFonts w:ascii="Times New Roman" w:cs="Times New Roman" w:eastAsia="Times New Roman" w:hAnsi="Times New Roman"/>
          <w:sz w:val="24"/>
          <w:szCs w:val="24"/>
        </w:rPr>
        <w:t xml:space="preserve">If perioperative misclassification is non-differential by ETE status, inclusion of these events adds symmetric noise to the structural endpoint, attenuating the observed association. However, differential postoperative imaging intensity—once pathology is known—cannot be excluded and could bias the estimate in either direction. That bias direction is inferred rather than directly demonstrated in the current data. Accordingly, the OR 1.43 may be conservative, but this inference is assumption-dependent and should be confirmed in datasets with radiology order timestamps.</w:t>
      </w:r>
    </w:p>
    <w:p>
      <w:pPr>
        <w:spacing w:after="120" w:before="240"/>
      </w:pPr>
      <w:r>
        <w:rPr>
          <w:rFonts w:ascii="Times New Roman" w:cs="Times New Roman" w:eastAsia="Times New Roman" w:hAnsi="Times New Roman"/>
          <w:b/>
          <w:bCs/>
          <w:i/>
          <w:iCs/>
          <w:sz w:val="24"/>
          <w:szCs w:val="24"/>
        </w:rPr>
        <w:t xml:space="preserve">Tumor-Size-Stratified Models</w:t>
      </w:r>
    </w:p>
    <w:p>
      <w:pPr>
        <w:spacing w:after="120" w:line="276"/>
      </w:pPr>
      <w:r>
        <w:rPr>
          <w:rFonts w:ascii="Times New Roman" w:cs="Times New Roman" w:eastAsia="Times New Roman" w:hAnsi="Times New Roman"/>
          <w:sz w:val="24"/>
          <w:szCs w:val="24"/>
        </w:rPr>
        <w:t xml:space="preserve">Size-stratified logistic regression showed a monotonic dose-response (Supplementary Table S5): mETE OR 1.32 (95% CI 0.74–2.37, p = 0.346) for tumors ≤1 cm, 1.46 (0.80–2.67, p = 0.224) for 1–2 cm, and 1.57 (0.92–2.68, p = 0.095) for 2–4 cm. No individual stratum reached significance, likely reflecting reduced power, but the consistent trend aligns with Kim et al.’s (2025) finding of mETE recurrence rates increasing from 2.6% to 16.7% across the same size range.</w:t>
      </w:r>
      <w:r>
        <w:rPr>
          <w:rFonts w:ascii="Times New Roman" w:cs="Times New Roman" w:eastAsia="Times New Roman" w:hAnsi="Times New Roman"/>
          <w:sz w:val="24"/>
          <w:szCs w:val="24"/>
          <w:vertAlign w:val="superscript"/>
        </w:rPr>
        <w:t xml:space="preserve">13</w:t>
      </w:r>
    </w:p>
    <w:p>
      <w:pPr>
        <w:spacing w:after="120" w:before="240"/>
      </w:pPr>
      <w:r>
        <w:rPr>
          <w:rFonts w:ascii="Times New Roman" w:cs="Times New Roman" w:eastAsia="Times New Roman" w:hAnsi="Times New Roman"/>
          <w:b/>
          <w:bCs/>
          <w:i/>
          <w:iCs/>
          <w:sz w:val="24"/>
          <w:szCs w:val="24"/>
        </w:rPr>
        <w:t xml:space="preserve">Interaction Tests</w:t>
      </w:r>
    </w:p>
    <w:p>
      <w:pPr>
        <w:spacing w:after="120" w:line="276"/>
      </w:pPr>
      <w:r>
        <w:rPr>
          <w:rFonts w:ascii="Times New Roman" w:cs="Times New Roman" w:eastAsia="Times New Roman" w:hAnsi="Times New Roman"/>
          <w:sz w:val="24"/>
          <w:szCs w:val="24"/>
        </w:rPr>
        <w:t xml:space="preserve">The mETE × nodal-status interaction was significant (OR 0.36, 95% CI 0.17–0.74, p = 0.006; Table 4), suggesting that any adverse structural-disease association of mETE was concentrated in node-negative disease. The mETE × size and mETE × age interactions were non-significant (p = 0.412 and p = 0.258), though the stratified dose-response suggests a size effect that may require larger samples to detect as a formal interaction.</w:t>
      </w:r>
    </w:p>
    <w:p>
      <w:pPr>
        <w:spacing w:after="120" w:before="240"/>
      </w:pPr>
      <w:r>
        <w:rPr>
          <w:rFonts w:ascii="Times New Roman" w:cs="Times New Roman" w:eastAsia="Times New Roman" w:hAnsi="Times New Roman"/>
          <w:b/>
          <w:bCs/>
          <w:i/>
          <w:iCs/>
          <w:sz w:val="24"/>
          <w:szCs w:val="24"/>
        </w:rPr>
        <w:t xml:space="preserve">Supplementary Literature Review</w:t>
      </w:r>
    </w:p>
    <w:p>
      <w:pPr>
        <w:spacing w:after="120" w:line="276"/>
      </w:pPr>
      <w:r>
        <w:rPr>
          <w:rFonts w:ascii="Times New Roman" w:cs="Times New Roman" w:eastAsia="Times New Roman" w:hAnsi="Times New Roman"/>
          <w:sz w:val="24"/>
          <w:szCs w:val="24"/>
        </w:rPr>
        <w:t xml:space="preserve">The literature review (80 studies, N range 100–177,497) confirmed that mETE findings are heterogeneous, driven by tumor size, age, treatment confounding, and endpoint selection (Supplementary Table S1). Two meta-analyses confirmed superior AJCC 8th edition C-indices overall but identified the ≥55/no-macroscopic-ETE subgroup as an area of persisting uncertainty.</w:t>
      </w:r>
      <w:r>
        <w:rPr>
          <w:rFonts w:ascii="Times New Roman" w:cs="Times New Roman" w:eastAsia="Times New Roman" w:hAnsi="Times New Roman"/>
          <w:sz w:val="24"/>
          <w:szCs w:val="24"/>
          <w:vertAlign w:val="superscript"/>
        </w:rPr>
        <w:t xml:space="preserve">18,24</w:t>
      </w:r>
      <w:r>
        <w:rPr>
          <w:rFonts w:ascii="Times New Roman" w:cs="Times New Roman" w:eastAsia="Times New Roman" w:hAnsi="Times New Roman"/>
          <w:sz w:val="24"/>
          <w:szCs w:val="24"/>
        </w:rPr>
        <w:t xml:space="preserve"> Detailed findings are reported in the Supplement.</w:t>
      </w:r>
    </w:p>
    <w:p>
      <w:r>
        <w:br w:type="page"/>
      </w:r>
    </w:p>
    <w:p>
      <w:pPr>
        <w:pStyle w:val="Heading1"/>
        <w:spacing w:after="200" w:before="360"/>
      </w:pPr>
      <w:r>
        <w:rPr>
          <w:rFonts w:ascii="Times New Roman" w:cs="Times New Roman" w:eastAsia="Times New Roman" w:hAnsi="Times New Roman"/>
          <w:b/>
          <w:bCs/>
          <w:sz w:val="28"/>
          <w:szCs w:val="28"/>
        </w:rPr>
        <w:t xml:space="preserve">DISCUSSION</w:t>
      </w:r>
    </w:p>
    <w:p>
      <w:pPr>
        <w:spacing w:after="120" w:before="240"/>
      </w:pPr>
      <w:r>
        <w:rPr>
          <w:rFonts w:ascii="Times New Roman" w:cs="Times New Roman" w:eastAsia="Times New Roman" w:hAnsi="Times New Roman"/>
          <w:b/>
          <w:bCs/>
          <w:i/>
          <w:iCs/>
          <w:sz w:val="24"/>
          <w:szCs w:val="24"/>
        </w:rPr>
        <w:t xml:space="preserve">Endpoint Selection Determines the mETE Narrative</w:t>
      </w:r>
    </w:p>
    <w:p>
      <w:pPr>
        <w:spacing w:after="120" w:line="276"/>
      </w:pPr>
      <w:r>
        <w:rPr>
          <w:rFonts w:ascii="Times New Roman" w:cs="Times New Roman" w:eastAsia="Times New Roman" w:hAnsi="Times New Roman"/>
          <w:sz w:val="24"/>
          <w:szCs w:val="24"/>
        </w:rPr>
        <w:t xml:space="preserve">The central finding is that mETE showed differing associations depending on endpoint within the same cohort: OR 0.60 (inverse) on a composite proxy versus OR 1.43 (adverse, p = 0.030) on propensity-matched structural disease. The composite proxy incorporates AJCC 8th staging, which excludes mETE from T-classification; regressing mETE on an outcome already purged of mETE information produces a null or inverse coefficient by construction. The structural endpoint is classification-independent and captures actual disease behavior. CT imaging timing analysis provides additional context: 40.8% of events were preoperative and 5.9% perioperative (together 46.7%, likely staging workup), while 53.3% occurred later, though differential surveillance intensity cannot be excluded. This endpoint dependency likely explains much of the published heterogeneity: studies using staging-derived proxies tend to find mETE non-prognostic, whereas studies using structural disease endpoints tend to find it prognostic.</w:t>
      </w:r>
    </w:p>
    <w:p>
      <w:pPr>
        <w:spacing w:after="120" w:before="240"/>
      </w:pPr>
      <w:r>
        <w:rPr>
          <w:rFonts w:ascii="Times New Roman" w:cs="Times New Roman" w:eastAsia="Times New Roman" w:hAnsi="Times New Roman"/>
          <w:b/>
          <w:bCs/>
          <w:i/>
          <w:iCs/>
          <w:sz w:val="24"/>
          <w:szCs w:val="24"/>
        </w:rPr>
        <w:t xml:space="preserve">Nodal Status as a Potential Effect Modifier</w:t>
      </w:r>
    </w:p>
    <w:p>
      <w:pPr>
        <w:spacing w:after="120" w:line="276"/>
      </w:pPr>
      <w:r>
        <w:rPr>
          <w:rFonts w:ascii="Times New Roman" w:cs="Times New Roman" w:eastAsia="Times New Roman" w:hAnsi="Times New Roman"/>
          <w:sz w:val="24"/>
          <w:szCs w:val="24"/>
        </w:rPr>
        <w:t xml:space="preserve">The mETE × nodal-status interaction is hypothesis-generating and suggests that any adverse association may be concentrated in node-negative disease, where mETE may be the sole indicator of aggressive biology beyond tumor size. In node-positive patients, mETE appears informationally redundant. The tumor-size dose-response (OR 1.32–1.57) further supports context dependence, though the formal interaction was non-significant (p = 0.412). The age-dependent attenuation (OR 0.44 in age &lt;55 vs. 0.87 in ≥55) is consistent with Tran et al.’s finding of mETE predicting reduced DFS (HR 2.8) specifically in patients ≥55.</w:t>
      </w:r>
      <w:r>
        <w:rPr>
          <w:rFonts w:ascii="Times New Roman" w:cs="Times New Roman" w:eastAsia="Times New Roman" w:hAnsi="Times New Roman"/>
          <w:sz w:val="24"/>
          <w:szCs w:val="24"/>
          <w:vertAlign w:val="superscript"/>
        </w:rPr>
        <w:t xml:space="preserve">18</w:t>
      </w:r>
    </w:p>
    <w:p>
      <w:pPr>
        <w:spacing w:after="120" w:before="240"/>
      </w:pPr>
      <w:r>
        <w:rPr>
          <w:rFonts w:ascii="Times New Roman" w:cs="Times New Roman" w:eastAsia="Times New Roman" w:hAnsi="Times New Roman"/>
          <w:b/>
          <w:bCs/>
          <w:i/>
          <w:iCs/>
          <w:sz w:val="24"/>
          <w:szCs w:val="24"/>
        </w:rPr>
        <w:t xml:space="preserve">Alignment With the 2025 ATA Guidelines</w:t>
      </w:r>
    </w:p>
    <w:p>
      <w:pPr>
        <w:spacing w:after="120" w:line="276"/>
      </w:pPr>
      <w:r>
        <w:rPr>
          <w:rFonts w:ascii="Times New Roman" w:cs="Times New Roman" w:eastAsia="Times New Roman" w:hAnsi="Times New Roman"/>
          <w:sz w:val="24"/>
          <w:szCs w:val="24"/>
        </w:rPr>
        <w:t xml:space="preserve">Our findings are concordant with the 2025 ATA guidelines.</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The framework appropriately avoids using mETE alone for population-level stage assignment while allowing individualized surveillance. The ΔAUC of 0.025 confirms negligible discriminative contribution at the population level. The 71.5% T-stage downstaging among mETE patients confirms the magnitude of AJCC 8th edition stage migration; under 7th edition rules, over 1,200 patients would have been classified as T3. Our mETE × nodal interaction (p = 0.006) suggests node-negative patients with tumors &gt;2 cm may represent a subgroup where mETE carries modest additional information for surveillance planning.</w:t>
      </w:r>
    </w:p>
    <w:p>
      <w:pPr>
        <w:spacing w:after="120" w:before="240"/>
      </w:pPr>
      <w:r>
        <w:rPr>
          <w:rFonts w:ascii="Times New Roman" w:cs="Times New Roman" w:eastAsia="Times New Roman" w:hAnsi="Times New Roman"/>
          <w:b/>
          <w:bCs/>
          <w:i/>
          <w:iCs/>
          <w:sz w:val="24"/>
          <w:szCs w:val="24"/>
        </w:rPr>
        <w:t xml:space="preserve">Strengths</w:t>
      </w:r>
    </w:p>
    <w:p>
      <w:pPr>
        <w:spacing w:after="120" w:line="276"/>
      </w:pPr>
      <w:r>
        <w:rPr>
          <w:rFonts w:ascii="Times New Roman" w:cs="Times New Roman" w:eastAsia="Times New Roman" w:hAnsi="Times New Roman"/>
          <w:sz w:val="24"/>
          <w:szCs w:val="24"/>
        </w:rPr>
        <w:t xml:space="preserve">Key contributions include: (1) dual-endpoint comparison within the same cohort explaining divergent published findings; (2) identification of a potential node-negative subgroup; (3) quantified CT imaging timing characterization with disaggregated preoperative and perioperative categories; and (4) full analytic transparency via archived repository.</w:t>
      </w:r>
    </w:p>
    <w:p>
      <w:pPr>
        <w:spacing w:after="120" w:before="240"/>
      </w:pPr>
      <w:r>
        <w:rPr>
          <w:rFonts w:ascii="Times New Roman" w:cs="Times New Roman" w:eastAsia="Times New Roman" w:hAnsi="Times New Roman"/>
          <w:b/>
          <w:bCs/>
          <w:i/>
          <w:iCs/>
          <w:sz w:val="24"/>
          <w:szCs w:val="24"/>
        </w:rPr>
        <w:t xml:space="preserve">Limitations</w:t>
      </w:r>
    </w:p>
    <w:p>
      <w:pPr>
        <w:spacing w:after="120" w:line="276"/>
      </w:pPr>
      <w:r>
        <w:rPr>
          <w:rFonts w:ascii="Times New Roman" w:cs="Times New Roman" w:eastAsia="Times New Roman" w:hAnsi="Times New Roman"/>
          <w:sz w:val="24"/>
          <w:szCs w:val="24"/>
        </w:rPr>
        <w:t xml:space="preserve">Several limitations merit discussion. First, the primary outcome was a composite proxy derived from AJCC stage, gross ETE status, and peak thyroglobulin; the proxy analysis should be interpreted as classification-dependent. Because gross ETE is embedded in the high-risk definition, the gross ETE coefficient is circular, although this does not affect the mETE estimate. Second, covariate adjustment was limited: the lymph node ratio behaved as a binary variable (99.0% of values 0 or 1), M-stage was meaningful for only 241/3,278 patients (7.4%; sensitivity analysis confirmed no material change), and treatment confounding (surgery extent, neck dissection, RAI dose, TSH suppression) was not modeled. Third, thyroglobulin follow-up was sparse (mETE median 0.0 years), constraining longitudinal analyses and the DFS censoring definition.</w:t>
      </w:r>
    </w:p>
    <w:p>
      <w:pPr>
        <w:spacing w:after="120" w:line="276"/>
      </w:pPr>
      <w:r>
        <w:rPr>
          <w:rFonts w:ascii="Times New Roman" w:cs="Times New Roman" w:eastAsia="Times New Roman" w:hAnsi="Times New Roman"/>
          <w:sz w:val="24"/>
          <w:szCs w:val="24"/>
        </w:rPr>
        <w:t xml:space="preserve">Fourth, the structural endpoint is vulnerable to peri-operative imaging contamination: of 1,245 CT-detected pathologic lymphadenopathy events, 508 (40.8%) were preoperative and 73 (5.9%) were perioperative. If non-differential, this attenuates the observed association; however, differential postoperative imaging intensity cannot be excluded. The endpoint also likely captures both persistent and recurrent disease. Fifth, PSM balance remained suboptimal for nodal status (SMD −0.576) and age (−0.213); the PSM analysis should be viewed as exploratory. A sensitivity PSM rerun with a wider caliper (0.20) yielded 712 matched pairs and an attenuated, non-significant estimate (OR 1.30, p = 0.13), reinforcing the exploratory nature of the structural-endpoint finding. Sixth, mETE diagnosis has substantial interobserver variability,</w:t>
      </w:r>
      <w:r>
        <w:rPr>
          <w:rFonts w:ascii="Times New Roman" w:cs="Times New Roman" w:eastAsia="Times New Roman" w:hAnsi="Times New Roman"/>
          <w:sz w:val="24"/>
          <w:szCs w:val="24"/>
          <w:vertAlign w:val="superscript"/>
        </w:rPr>
        <w:t xml:space="preserve">32</w:t>
      </w:r>
      <w:r>
        <w:rPr>
          <w:rFonts w:ascii="Times New Roman" w:cs="Times New Roman" w:eastAsia="Times New Roman" w:hAnsi="Times New Roman"/>
          <w:sz w:val="24"/>
          <w:szCs w:val="24"/>
        </w:rPr>
        <w:t xml:space="preserve"> and molecular markers (BRAF V600E, TERT) were unavailable. The retrospective single-center design limits generalizability. These limitations do not negate the findings but prevent definitive causal or practice-changing interpretation.</w:t>
      </w:r>
    </w:p>
    <w:p>
      <w:pPr>
        <w:spacing w:after="120" w:before="240"/>
      </w:pPr>
      <w:r>
        <w:rPr>
          <w:rFonts w:ascii="Times New Roman" w:cs="Times New Roman" w:eastAsia="Times New Roman" w:hAnsi="Times New Roman"/>
          <w:b/>
          <w:bCs/>
          <w:i/>
          <w:iCs/>
          <w:sz w:val="24"/>
          <w:szCs w:val="24"/>
        </w:rPr>
        <w:t xml:space="preserve">Clinical Implications</w:t>
      </w:r>
    </w:p>
    <w:p>
      <w:pPr>
        <w:spacing w:after="120" w:line="276"/>
      </w:pPr>
      <w:r>
        <w:rPr>
          <w:rFonts w:ascii="Times New Roman" w:cs="Times New Roman" w:eastAsia="Times New Roman" w:hAnsi="Times New Roman"/>
          <w:sz w:val="24"/>
          <w:szCs w:val="24"/>
        </w:rPr>
        <w:t xml:space="preserve">For pathologists, explicit mETE documentation remains essential. For surgeons and endocrinologists, incidental mETE alone should not automatically trigger completion thyroidectomy or RAI; management should be individualized considering tumor size, nodal status, and postoperative response. Node-negative patients with mETE in tumors &gt;2 cm may warrant closer surveillance, pending external validation. For researchers, endpoint selection critically determines whether mETE appears prognostic; future studies should prefer structural disease endpoints.</w:t>
      </w:r>
    </w:p>
    <w:p>
      <w:r>
        <w:br w:type="page"/>
      </w:r>
    </w:p>
    <w:p>
      <w:pPr>
        <w:pStyle w:val="Heading1"/>
        <w:spacing w:after="200" w:before="360"/>
      </w:pPr>
      <w:r>
        <w:rPr>
          <w:rFonts w:ascii="Times New Roman" w:cs="Times New Roman" w:eastAsia="Times New Roman" w:hAnsi="Times New Roman"/>
          <w:b/>
          <w:bCs/>
          <w:sz w:val="28"/>
          <w:szCs w:val="28"/>
        </w:rPr>
        <w:t xml:space="preserve">CONCLUSIONS</w:t>
      </w:r>
    </w:p>
    <w:p>
      <w:pPr>
        <w:spacing w:after="120" w:line="276"/>
      </w:pPr>
      <w:r>
        <w:rPr>
          <w:rFonts w:ascii="Times New Roman" w:cs="Times New Roman" w:eastAsia="Times New Roman" w:hAnsi="Times New Roman"/>
          <w:sz w:val="24"/>
          <w:szCs w:val="24"/>
        </w:rPr>
        <w:t xml:space="preserve">In 3,278 PTC patients, microscopic extrathyroidal extension showed differing associations depending on endpoint: inversely associated on a composite staging-derived proxy (OR 0.60, p &lt; 0.001) but associated with modestly higher structural disease in propensity-matched analysis (OR 1.43, p = 0.030). A significant mETE × nodal-status interaction (p = 0.006) suggests that this association was concentrated in node-negative patients, with a dose-response trend across tumor sizes (OR 1.32–1.57).</w:t>
      </w:r>
    </w:p>
    <w:p>
      <w:pPr>
        <w:spacing w:after="120" w:line="276"/>
      </w:pPr>
      <w:r>
        <w:rPr>
          <w:rFonts w:ascii="Times New Roman" w:cs="Times New Roman" w:eastAsia="Times New Roman" w:hAnsi="Times New Roman"/>
          <w:sz w:val="24"/>
          <w:szCs w:val="24"/>
        </w:rPr>
        <w:t xml:space="preserve">These findings suggest that much of the apparent heterogeneity in the mETE literature may reflect endpoint dependence. Overall, the data support continued exclusion of mETE from population-level T staging. However, mETE was associated with a modest, context-dependent increase in structural disease, particularly in node-negative patients with larger tumors. Because the structural analysis remains vulnerable to residual confounding, treatment confounding, and ascertainment bias, these subgroup findings should be viewed as hypothesis-generating. Future multicenter validation with structural disease endpoints, molecular integration, and standardized histopathologic criteria will be needed to determine whether mETE has value in individualized surveillance planning.</w:t>
      </w:r>
    </w:p>
    <w:p>
      <w:r>
        <w:br w:type="page"/>
      </w:r>
    </w:p>
    <w:p>
      <w:pPr>
        <w:pStyle w:val="Heading1"/>
        <w:spacing w:after="200" w:before="360"/>
      </w:pPr>
      <w:r>
        <w:rPr>
          <w:rFonts w:ascii="Times New Roman" w:cs="Times New Roman" w:eastAsia="Times New Roman" w:hAnsi="Times New Roman"/>
          <w:b/>
          <w:bCs/>
          <w:sz w:val="28"/>
          <w:szCs w:val="28"/>
        </w:rPr>
        <w:t xml:space="preserve">REFERENCES</w:t>
      </w:r>
    </w:p>
    <w:p>
      <w:pPr>
        <w:spacing w:after="8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Siegel RL, Giaquinto AN, Jemal A. Cancer statistics, 2024. CA Cancer J Clin. 2024;74(1):12–49.</w:t>
      </w:r>
    </w:p>
    <w:p>
      <w:pPr>
        <w:spacing w:after="8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Lim H, Devesa SS, Sosa JA, et al. Trends in thyroid cancer incidence and mortality, 1974–2013. JAMA. 2017;317(13):1338–1348.</w:t>
      </w:r>
    </w:p>
    <w:p>
      <w:pPr>
        <w:spacing w:after="8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Tuttle RM, Haugen B, Perrier ND. Updated AJCC/TNM staging for differentiated and anaplastic thyroid cancer (8th edition). Thyroid. 2017;27(6):751–756.</w:t>
      </w:r>
    </w:p>
    <w:p>
      <w:pPr>
        <w:spacing w:after="8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Edge SB, Compton CC. AJCC Cancer Staging Manual, 7th edition. Ann Surg Oncol. 2010;17(6):1471–1474.</w:t>
      </w:r>
    </w:p>
    <w:p>
      <w:pPr>
        <w:spacing w:after="8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Amin MB, Edge SB, Greene FL, et al. AJCC Cancer Staging Manual, 8th ed. Springer; 2017.</w:t>
      </w:r>
    </w:p>
    <w:p>
      <w:pPr>
        <w:spacing w:after="8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Ringel MD, Sosa JA, Baloch Z, et al. 2025 ATA Management Guidelines for Adult Patients with Differentiated Thyroid Cancer. Thyroid. 2025;35(8):841–985.</w:t>
      </w:r>
    </w:p>
    <w:p>
      <w:pPr>
        <w:spacing w:after="8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Bortz MD, Kuchta K, Winchester DJ, Prinz RA, Moo-Young TA. Extrathyroidal extension predicts negative clinical outcomes in papillary thyroid cancer. Surgery. 2021;169(1):2–6.</w:t>
      </w:r>
    </w:p>
    <w:p>
      <w:pPr>
        <w:spacing w:after="8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Liu Z, Huang Y, Chen S, et al. Minimal extrathyroidal extension affects prognosis in differentiated thyroid cancer. PLoS ONE. 2019;14(6):e0218171.</w:t>
      </w:r>
    </w:p>
    <w:p>
      <w:pPr>
        <w:spacing w:after="8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Ahn D, Sohn J, Jeon JH, Jeong JY. Clinical impact of microscopic ETE in PTC microcarcinoma treated with hemithyroidectomy. J Endocrinol Invest. 2014;37(2):167–173.</w:t>
      </w:r>
    </w:p>
    <w:p>
      <w:pPr>
        <w:spacing w:after="8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Han JM, Kim WG, Kim TY, et al. Low-dose vs. high-dose RAI in small DTC with microscopic ETE. Thyroid. 2014;24(5):820–825.</w:t>
      </w:r>
    </w:p>
    <w:p>
      <w:pPr>
        <w:spacing w:after="8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Parvathareddy S, Siraj AK, Qadri Z, et al. Microscopic ETE and recurrence in Middle Eastern PTC. Front Oncol. 2021;11:724432.</w:t>
      </w:r>
    </w:p>
    <w:p>
      <w:pPr>
        <w:spacing w:after="8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Patti L, Gay S, Musso L, et al. Impact of microscopic ETE on DTC post-surgical recurrence risk. J Endocrinol Invest. 2023;46(6):1219–1226.</w:t>
      </w:r>
    </w:p>
    <w:p>
      <w:pPr>
        <w:spacing w:after="8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Kim CA, Kim HI, Kim NH, et al. Prognostic impact of primary tumor size in PTC without LN metastasis. Endocrinol Metab. 2025;40(3):405–413.</w:t>
      </w:r>
    </w:p>
    <w:p>
      <w:pPr>
        <w:spacing w:after="8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Pontius L, Oyekunle T, Thomas SM, et al. Projecting survival in PTC: AJCC 7th vs. 8th editions. Thyroid. 2017;27(12):1490–1498.</w:t>
      </w:r>
    </w:p>
    <w:p>
      <w:pPr>
        <w:spacing w:after="80"/>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van Velsen EV, Stegenga M, van Kemenade F, et al. Comparing prognostic value of AJCC 8th edition between PTC and FTC. Thyroid. 2018;28(8):976–981.</w:t>
      </w:r>
    </w:p>
    <w:p>
      <w:pPr>
        <w:spacing w:after="80"/>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Kim K, Kim JK, Lee C, et al. Comparison of long-term prognosis for DTC by AJCC 7th and 8th. Ther Adv Endocrinol Metab. 2020;11:2042018820921019.</w:t>
      </w:r>
    </w:p>
    <w:p>
      <w:pPr>
        <w:spacing w:after="80"/>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Morosan Allo YM, Bosio L, Morejon A, et al. Comparison of the prognostic value of AJCC cancer staging system 7th and 8th editions for DTC. BMC Endocr Disord. 2022;22:146.</w:t>
      </w:r>
    </w:p>
    <w:p>
      <w:pPr>
        <w:spacing w:after="80"/>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Tran B, Roshan D, Abraham E, et al. Analysis of AJCC 8th T staging for PTC. J Clin Endocrinol Metab. 2018;103(6):2199–2206.</w:t>
      </w:r>
    </w:p>
    <w:p>
      <w:pPr>
        <w:spacing w:after="80"/>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Kang SP, Bai H, Liu H, et al. Minimal ETE in bilateral PTC and structural recurrence. Head Neck. 2026;48(1):e70172.</w:t>
      </w:r>
    </w:p>
    <w:p>
      <w:pPr>
        <w:spacing w:after="80"/>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Kim M, Kim WG, Oh HS, et al. Comparison of AJCC 7th and 8th editions for DTC. Thyroid. 2017;27(9):1149–1155.</w:t>
      </w:r>
    </w:p>
    <w:p>
      <w:pPr>
        <w:spacing w:after="80"/>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Tam S, Boonsripitayanon M, Amit M, et al. Survival in DTC: comparing AJCC 7th and 8th. Thyroid. 2018;28(10):1301–1310.</w:t>
      </w:r>
    </w:p>
    <w:p>
      <w:pPr>
        <w:spacing w:after="80"/>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Lechner MG, Bernardo AC, Lampe A, et al. Changes in stage distribution and disease-specific survival in DTC with transition to AJCC 8th edition: a systematic review and meta-analysis. Oncologist. 2021;26(2):e251–e260.</w:t>
      </w:r>
    </w:p>
    <w:p>
      <w:pPr>
        <w:spacing w:after="80"/>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Chen Z, Ruan J, Yao Y, et al. AJCC 7th and 8th editions for recurrence prediction in PTC microcarcinoma. Ann Surg Oncol. 2021;28(8):4327–4333.</w:t>
      </w:r>
    </w:p>
    <w:p>
      <w:pPr>
        <w:spacing w:after="80"/>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Lechner MG, Bernardo AC, Lampe A, et al. Changes in stage distribution and disease-specific survival in DTC with transition to AJCC 8th edition: a systematic review and meta-analysis. Oncologist. 2021;26(2):e251–e260. [NOTE: duplicate of Ref 22 – deduplicate before submission]</w:t>
      </w:r>
    </w:p>
    <w:p>
      <w:pPr>
        <w:spacing w:after="80"/>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Xue S, Zhang L, Wang P, et al. Recurrence predictors in multifocal PTC microcarcinoma with BRAF. Front Endocrinol. 2019;10:407.</w:t>
      </w:r>
    </w:p>
    <w:p>
      <w:pPr>
        <w:spacing w:after="80"/>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rPr>
        <w:t xml:space="preserve">Weber M, Binse I, Oebbecke K, et al. Analysis of risk factors and prognosis in DTC with focus on minimal extrathyroidal extension. BMC Endocr Disord. 2021;21(1):161.</w:t>
      </w:r>
    </w:p>
    <w:p>
      <w:pPr>
        <w:spacing w:after="80"/>
      </w:pPr>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rPr>
        <w:t xml:space="preserve">Marques B, Martins RG, Couto J, et al. Microscopic extrathyroid extension in papillary thyroid carcinoma: impact on response to therapy. Arch Endocrinol Metab. 2020;64(2):144–149.</w:t>
      </w:r>
    </w:p>
    <w:p>
      <w:pPr>
        <w:spacing w:after="80"/>
      </w:pPr>
      <w:r>
        <w:rPr>
          <w:rFonts w:ascii="Times New Roman" w:cs="Times New Roman" w:eastAsia="Times New Roman" w:hAnsi="Times New Roman"/>
          <w:b/>
          <w:bCs/>
          <w:sz w:val="24"/>
          <w:szCs w:val="24"/>
        </w:rPr>
        <w:t xml:space="preserve">28. </w:t>
      </w:r>
      <w:r>
        <w:rPr>
          <w:rFonts w:ascii="Times New Roman" w:cs="Times New Roman" w:eastAsia="Times New Roman" w:hAnsi="Times New Roman"/>
          <w:sz w:val="24"/>
          <w:szCs w:val="24"/>
        </w:rPr>
        <w:t xml:space="preserve">Samargandy S, Samargandy SJ, Faruqui HM, et al. Age, not tumor size, modifies ETE–outcome association. Ann Saudi Med. 2025;45(6):414–421. [UNVERIFIED – confirm pagination before submission]</w:t>
      </w:r>
    </w:p>
    <w:p>
      <w:pPr>
        <w:spacing w:after="80"/>
      </w:pPr>
      <w:r>
        <w:rPr>
          <w:rFonts w:ascii="Times New Roman" w:cs="Times New Roman" w:eastAsia="Times New Roman" w:hAnsi="Times New Roman"/>
          <w:b/>
          <w:bCs/>
          <w:sz w:val="24"/>
          <w:szCs w:val="24"/>
        </w:rPr>
        <w:t xml:space="preserve">29. </w:t>
      </w:r>
      <w:r>
        <w:rPr>
          <w:rFonts w:ascii="Times New Roman" w:cs="Times New Roman" w:eastAsia="Times New Roman" w:hAnsi="Times New Roman"/>
          <w:sz w:val="24"/>
          <w:szCs w:val="24"/>
        </w:rPr>
        <w:t xml:space="preserve">Shi W, Wang M, Dong L, et al. ETE and tumor size in thyroid cancer outcomes. Nucl Med Commun. 2023;44(11):1052–1059.</w:t>
      </w:r>
    </w:p>
    <w:p>
      <w:pPr>
        <w:spacing w:after="80"/>
      </w:pPr>
      <w:r>
        <w:rPr>
          <w:rFonts w:ascii="Times New Roman" w:cs="Times New Roman" w:eastAsia="Times New Roman" w:hAnsi="Times New Roman"/>
          <w:b/>
          <w:bCs/>
          <w:sz w:val="24"/>
          <w:szCs w:val="24"/>
        </w:rPr>
        <w:t xml:space="preserve">30. </w:t>
      </w:r>
      <w:r>
        <w:rPr>
          <w:rFonts w:ascii="Times New Roman" w:cs="Times New Roman" w:eastAsia="Times New Roman" w:hAnsi="Times New Roman"/>
          <w:sz w:val="24"/>
          <w:szCs w:val="24"/>
        </w:rPr>
        <w:t xml:space="preserve">Moon S, Song YS, Kim YA, et al. Coexistent BRAF V600E and TERT mutations in PTC. Thyroid. 2017;27(5):651–660.</w:t>
      </w:r>
    </w:p>
    <w:p>
      <w:pPr>
        <w:spacing w:after="80"/>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rPr>
        <w:t xml:space="preserve">Haugen BR, Alexander EK, Bible KC, et al. 2015 ATA Management Guidelines for Thyroid Nodules and DTC. Thyroid. 2016;26(1):1–133.</w:t>
      </w:r>
    </w:p>
    <w:p>
      <w:pPr>
        <w:spacing w:after="80"/>
      </w:pPr>
      <w:r>
        <w:rPr>
          <w:rFonts w:ascii="Times New Roman" w:cs="Times New Roman" w:eastAsia="Times New Roman" w:hAnsi="Times New Roman"/>
          <w:b/>
          <w:bCs/>
          <w:sz w:val="24"/>
          <w:szCs w:val="24"/>
        </w:rPr>
        <w:t xml:space="preserve">32. </w:t>
      </w:r>
      <w:r>
        <w:rPr>
          <w:rFonts w:ascii="Times New Roman" w:cs="Times New Roman" w:eastAsia="Times New Roman" w:hAnsi="Times New Roman"/>
          <w:sz w:val="24"/>
          <w:szCs w:val="24"/>
        </w:rPr>
        <w:t xml:space="preserve">Vuong HG, Altibi AM, Duong UN, et al. Microscopic ETE in PTC: systematic review and meta-analysis. Thyroid. 2022;32(11):1305–1315.</w:t>
      </w:r>
    </w:p>
    <w:p>
      <w:pPr>
        <w:spacing w:after="80"/>
      </w:pPr>
      <w:r>
        <w:rPr>
          <w:rFonts w:ascii="Times New Roman" w:cs="Times New Roman" w:eastAsia="Times New Roman" w:hAnsi="Times New Roman"/>
          <w:b/>
          <w:bCs/>
          <w:sz w:val="24"/>
          <w:szCs w:val="24"/>
        </w:rPr>
        <w:t xml:space="preserve">33. </w:t>
      </w:r>
      <w:r>
        <w:rPr>
          <w:rFonts w:ascii="Times New Roman" w:cs="Times New Roman" w:eastAsia="Times New Roman" w:hAnsi="Times New Roman"/>
          <w:sz w:val="24"/>
          <w:szCs w:val="24"/>
        </w:rPr>
        <w:t xml:space="preserve">Zhang L, Liu J, Wang P, et al. Gross strap muscle invasion in DTC: meta-analysis. Front Oncol. 2020;10:1687.</w:t>
      </w:r>
    </w:p>
    <w:p>
      <w:pPr>
        <w:spacing w:after="80"/>
      </w:pPr>
      <w:r>
        <w:rPr>
          <w:rFonts w:ascii="Times New Roman" w:cs="Times New Roman" w:eastAsia="Times New Roman" w:hAnsi="Times New Roman"/>
          <w:b/>
          <w:bCs/>
          <w:sz w:val="24"/>
          <w:szCs w:val="24"/>
        </w:rPr>
        <w:t xml:space="preserve">34. </w:t>
      </w:r>
      <w:r>
        <w:rPr>
          <w:rFonts w:ascii="Times New Roman" w:cs="Times New Roman" w:eastAsia="Times New Roman" w:hAnsi="Times New Roman"/>
          <w:sz w:val="24"/>
          <w:szCs w:val="24"/>
        </w:rPr>
        <w:t xml:space="preserve">Bouzehouane N, Roy P, Decaussin-Petrucci M, et al. Prognostic impact of microscopic ETE on DFS in PTC. Cancers. 2022;14(11):2591.</w:t>
      </w:r>
    </w:p>
    <w:p>
      <w:pPr>
        <w:spacing w:after="80"/>
      </w:pPr>
      <w:r>
        <w:rPr>
          <w:rFonts w:ascii="Times New Roman" w:cs="Times New Roman" w:eastAsia="Times New Roman" w:hAnsi="Times New Roman"/>
          <w:b/>
          <w:bCs/>
          <w:sz w:val="24"/>
          <w:szCs w:val="24"/>
        </w:rPr>
        <w:t xml:space="preserve">35. </w:t>
      </w:r>
      <w:r>
        <w:rPr>
          <w:rFonts w:ascii="Times New Roman" w:cs="Times New Roman" w:eastAsia="Times New Roman" w:hAnsi="Times New Roman"/>
          <w:sz w:val="24"/>
          <w:szCs w:val="24"/>
        </w:rPr>
        <w:t xml:space="preserve">Won HR, Kim JW, Son HO, et al. Clinical significance of gross extrathyroidal extension to only the strap muscle according to tumor size in DTC: a systematic review and meta-analysis. Clin Exp Otorhinolaryngol. 2024;17(4):336–345.</w:t>
      </w:r>
    </w:p>
    <w:p>
      <w:r>
        <w:br w:type="page"/>
      </w:r>
    </w:p>
    <w:p>
      <w:pPr>
        <w:pStyle w:val="Heading1"/>
        <w:spacing w:after="200" w:before="360"/>
      </w:pPr>
      <w:r>
        <w:rPr>
          <w:rFonts w:ascii="Times New Roman" w:cs="Times New Roman" w:eastAsia="Times New Roman" w:hAnsi="Times New Roman"/>
          <w:b/>
          <w:bCs/>
          <w:sz w:val="28"/>
          <w:szCs w:val="28"/>
        </w:rPr>
        <w:t xml:space="preserve">TABLES</w:t>
      </w:r>
    </w:p>
    <w:p>
      <w:pPr>
        <w:spacing w:after="120" w:line="276"/>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Baseline clinicopathologic characteristics by extrathyroidal extension (ETE) category in the analytic cohort (N = 3,278).</w:t>
      </w:r>
    </w:p>
    <w:p>
      <w:pPr>
        <w:spacing w:after="120" w:line="276"/>
      </w:pPr>
      <w:r>
        <w:rPr>
          <w:rFonts w:ascii="Times New Roman" w:cs="Times New Roman" w:eastAsia="Times New Roman" w:hAnsi="Times New Roman"/>
          <w:i/>
          <w:iCs/>
          <w:sz w:val="24"/>
          <w:szCs w:val="24"/>
        </w:rPr>
        <w:t xml:space="preserve">Values are n (%) unless otherwise indicated. P values are for overall comparisons across no ETE, microscopic extrathyroidal extension (mETE), and gross ETE. Abbreviations: ETE, extrathyroidal extension; IQR, interquartile range; SD, standard deviation; N1, pathologic node-positive disease.</w:t>
      </w:r>
    </w:p>
    <w:p>
      <w:pPr>
        <w:spacing w:after="120" w:line="276"/>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Adjusted ordinal logistic regression for higher composite recurrence-risk band in the complete-case cohort (N = 3,269).</w:t>
      </w:r>
    </w:p>
    <w:p>
      <w:pPr>
        <w:spacing w:after="120" w:line="276"/>
      </w:pPr>
      <w:r>
        <w:rPr>
          <w:rFonts w:ascii="Times New Roman" w:cs="Times New Roman" w:eastAsia="Times New Roman" w:hAnsi="Times New Roman"/>
          <w:i/>
          <w:iCs/>
          <w:sz w:val="24"/>
          <w:szCs w:val="24"/>
        </w:rPr>
        <w:t xml:space="preserve">Odds ratios (ORs) greater than 1 indicate higher odds of assignment to a higher composite risk band (low to intermediate to high). The composite outcome was derived from AJCC 8th edition stage, gross ETE, and thyroglobulin thresholds; accordingly, the gross ETE coefficient is shown for completeness but is not interpretable because gross ETE is embedded in the outcome definition. Lymph node ratio was modeled as a binary indicator because 99% of observed values in this cohort were 0 or 1.</w:t>
      </w:r>
    </w:p>
    <w:p>
      <w:pPr>
        <w:spacing w:after="120" w:line="276"/>
      </w:pPr>
      <w:r>
        <w:rPr>
          <w:rFonts w:ascii="Times New Roman" w:cs="Times New Roman" w:eastAsia="Times New Roman" w:hAnsi="Times New Roman"/>
          <w:i/>
          <w:iCs/>
          <w:sz w:val="24"/>
          <w:szCs w:val="24"/>
        </w:rPr>
        <w:t xml:space="preserve">Apparent AUC 0.877; five-fold cross-validated AUC 0.876 ± 0.010; ΔAUC vs. base model 0.025. Abbreviations: AUC, area under the curve; CI, confidence interval; ETE, extrathyroidal extension; LN, lymph node; OR, odds ratio.</w:t>
      </w:r>
    </w:p>
    <w:p>
      <w:pPr>
        <w:spacing w:after="120" w:line="276"/>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Structural recurrence in patients with mETE versus no ETE after propensity score matching (711 matched pairs).</w:t>
      </w:r>
    </w:p>
    <w:p>
      <w:pPr>
        <w:spacing w:after="120" w:line="276"/>
      </w:pPr>
      <w:r>
        <w:rPr>
          <w:rFonts w:ascii="Times New Roman" w:cs="Times New Roman" w:eastAsia="Times New Roman" w:hAnsi="Times New Roman"/>
          <w:i/>
          <w:iCs/>
          <w:sz w:val="24"/>
          <w:szCs w:val="24"/>
        </w:rPr>
        <w:t xml:space="preserve">Structural disease was defined as imaging-confirmed pathologic lymphadenopathy or reoperation. Matching was performed among patients with no ETE or mETE (gross ETE excluded) using age, sex, tumor size, and N1 status with nearest-neighbor matching (caliper 0.05). ORs greater than 1 indicate higher odds of structural disease in the mETE group.</w:t>
      </w:r>
    </w:p>
    <w:p>
      <w:pPr>
        <w:spacing w:after="120" w:line="276"/>
      </w:pPr>
      <w:r>
        <w:rPr>
          <w:rFonts w:ascii="Times New Roman" w:cs="Times New Roman" w:eastAsia="Times New Roman" w:hAnsi="Times New Roman"/>
          <w:i/>
          <w:iCs/>
          <w:sz w:val="24"/>
          <w:szCs w:val="24"/>
        </w:rPr>
        <w:t xml:space="preserve">Post-match balance was imperfect, particularly for nodal status (SMD = −0.576) and age (SMD = −0.213); the matched estimate should be interpreted cautiously and as supportive/hypothesis-generating rather than definitive. Because the matched mETE group was younger and had lower nodal burden, residual imbalance would be expected to attenuate rather than inflate the observed association, although residual confounding remains possible. Abbreviations: DFS, disease-free survival; ETE, extrathyroidal extension; OR, odds ratio; SMD, standardized mean difference.</w:t>
      </w:r>
    </w:p>
    <w:p>
      <w:pPr>
        <w:spacing w:after="120" w:line="276"/>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sz w:val="24"/>
          <w:szCs w:val="24"/>
        </w:rPr>
        <w:t xml:space="preserve">Pre-specified interaction analyses for structural disease.</w:t>
      </w:r>
    </w:p>
    <w:p>
      <w:pPr>
        <w:spacing w:after="120" w:line="276"/>
      </w:pPr>
      <w:r>
        <w:rPr>
          <w:rFonts w:ascii="Times New Roman" w:cs="Times New Roman" w:eastAsia="Times New Roman" w:hAnsi="Times New Roman"/>
          <w:i/>
          <w:iCs/>
          <w:sz w:val="24"/>
          <w:szCs w:val="24"/>
        </w:rPr>
        <w:t xml:space="preserve">Interaction terms were evaluated in multivariable logistic regression models for structural disease. Tumor size was modeled continuously in centimeters, age continuously in years, and nodal status as node-positive versus node-negative. For the mETE × nodal status term, an interaction OR less than 1 indicates that the association between mETE and structural disease is weaker in node-positive than in node-negative patients. Abbreviations: CI, confidence interval; ETE, extrathyroidal extension; OR, odds ratio.</w:t>
      </w:r>
    </w:p>
    <w:p>
      <w:pPr>
        <w:spacing w:before="360"/>
      </w:pPr>
      <w:r>
        <w:rPr>
          <w:rFonts w:ascii="Times New Roman" w:cs="Times New Roman" w:eastAsia="Times New Roman" w:hAnsi="Times New Roman"/>
          <w:b/>
          <w:bCs/>
          <w:sz w:val="24"/>
          <w:szCs w:val="24"/>
        </w:rPr>
        <w:t xml:space="preserve">Supplementary Tables (not in main text):</w:t>
      </w:r>
    </w:p>
    <w:p>
      <w:pPr>
        <w:spacing w:after="120" w:line="276"/>
      </w:pPr>
      <w:r>
        <w:rPr>
          <w:rFonts w:ascii="Times New Roman" w:cs="Times New Roman" w:eastAsia="Times New Roman" w:hAnsi="Times New Roman"/>
          <w:sz w:val="24"/>
          <w:szCs w:val="24"/>
        </w:rPr>
        <w:t xml:space="preserve">Table S1: Supplementary literature review evidence table (80 studies)</w:t>
      </w:r>
    </w:p>
    <w:p>
      <w:pPr>
        <w:spacing w:after="120" w:line="276"/>
      </w:pPr>
      <w:r>
        <w:rPr>
          <w:rFonts w:ascii="Times New Roman" w:cs="Times New Roman" w:eastAsia="Times New Roman" w:hAnsi="Times New Roman"/>
          <w:sz w:val="24"/>
          <w:szCs w:val="24"/>
        </w:rPr>
        <w:t xml:space="preserve">Table S2: Stage migration AJCC 7th → 8th edition</w:t>
      </w:r>
    </w:p>
    <w:p>
      <w:pPr>
        <w:spacing w:after="120" w:line="276"/>
      </w:pPr>
      <w:r>
        <w:rPr>
          <w:rFonts w:ascii="Times New Roman" w:cs="Times New Roman" w:eastAsia="Times New Roman" w:hAnsi="Times New Roman"/>
          <w:sz w:val="24"/>
          <w:szCs w:val="24"/>
        </w:rPr>
        <w:t xml:space="preserve">Table S3: Age-stratified and subgroup mETE ORs on composite proxy</w:t>
      </w:r>
    </w:p>
    <w:p>
      <w:pPr>
        <w:spacing w:after="120" w:line="276"/>
      </w:pPr>
      <w:r>
        <w:rPr>
          <w:rFonts w:ascii="Times New Roman" w:cs="Times New Roman" w:eastAsia="Times New Roman" w:hAnsi="Times New Roman"/>
          <w:sz w:val="24"/>
          <w:szCs w:val="24"/>
        </w:rPr>
        <w:t xml:space="preserve">Table S4: CT imaging timing relative to index surgery (mutually exclusive categories: preoperative, perioperative ≤30 d post-surgery, 31–365 d, &gt;365 d)</w:t>
      </w:r>
    </w:p>
    <w:p>
      <w:pPr>
        <w:spacing w:after="120" w:line="276"/>
      </w:pPr>
      <w:r>
        <w:rPr>
          <w:rFonts w:ascii="Times New Roman" w:cs="Times New Roman" w:eastAsia="Times New Roman" w:hAnsi="Times New Roman"/>
          <w:sz w:val="24"/>
          <w:szCs w:val="24"/>
        </w:rPr>
        <w:t xml:space="preserve">Table S5: Tumor-size-stratified mETE ORs on structural disease</w:t>
      </w:r>
    </w:p>
    <w:p>
      <w:pPr>
        <w:spacing w:after="120" w:line="276"/>
      </w:pPr>
      <w:r>
        <w:rPr>
          <w:rFonts w:ascii="Times New Roman" w:cs="Times New Roman" w:eastAsia="Times New Roman" w:hAnsi="Times New Roman"/>
          <w:sz w:val="24"/>
          <w:szCs w:val="24"/>
        </w:rPr>
        <w:t xml:space="preserve">Table S6: PSM covariate balance (711 pairs)</w:t>
      </w:r>
    </w:p>
    <w:p>
      <w:pPr>
        <w:spacing w:after="120" w:line="276"/>
      </w:pPr>
      <w:r>
        <w:rPr>
          <w:rFonts w:ascii="Times New Roman" w:cs="Times New Roman" w:eastAsia="Times New Roman" w:hAnsi="Times New Roman"/>
          <w:sz w:val="24"/>
          <w:szCs w:val="24"/>
        </w:rPr>
        <w:t xml:space="preserve">Table S7: Node-negative vs. node-positive stratified mETE ORs</w:t>
      </w:r>
    </w:p>
    <w:p>
      <w:pPr>
        <w:spacing w:after="120" w:line="276"/>
      </w:pPr>
      <w:r>
        <w:rPr>
          <w:rFonts w:ascii="Times New Roman" w:cs="Times New Roman" w:eastAsia="Times New Roman" w:hAnsi="Times New Roman"/>
          <w:sz w:val="24"/>
          <w:szCs w:val="24"/>
        </w:rPr>
        <w:t xml:space="preserve">Table S8: M-stage sensitivity analysis</w:t>
      </w:r>
    </w:p>
    <w:p>
      <w:r>
        <w:br w:type="page"/>
      </w:r>
    </w:p>
    <w:p>
      <w:pPr>
        <w:pStyle w:val="Heading1"/>
        <w:spacing w:after="200" w:before="360"/>
      </w:pPr>
      <w:r>
        <w:rPr>
          <w:rFonts w:ascii="Times New Roman" w:cs="Times New Roman" w:eastAsia="Times New Roman" w:hAnsi="Times New Roman"/>
          <w:b/>
          <w:bCs/>
          <w:sz w:val="28"/>
          <w:szCs w:val="28"/>
        </w:rPr>
        <w:t xml:space="preserve">FIGURES</w:t>
      </w:r>
    </w:p>
    <w:p>
      <w:pPr>
        <w:spacing w:after="120" w:line="276"/>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Flow diagram of cohort construction from the institutional thyroid cancer database to the expanded analytic PTC cohort (N = 3,278) and the classic-variant subgroup (N = 596). The diagram shows sequential exclusions for eligibility and data completeness.</w:t>
      </w:r>
    </w:p>
    <w:p>
      <w:pPr>
        <w:spacing w:after="120" w:line="276"/>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Propensity score–matched disease-free survival for structural disease in patients with mETE versus no ETE (711 matched pairs). Disease-free survival was lower in the mETE group than in the matched no-ETE group (log-rank P &lt; 0.001). Interpretation should account for residual post-match imbalance, particularly in nodal status (SMD = −0.576) and age (SMD = −0.213); because the matched mETE group was younger and had lower nodal burden, any residual bias would be expected to attenuate rather than exaggerate the observed difference, although residual confounding remains possible.</w:t>
      </w:r>
    </w:p>
    <w:p>
      <w:pPr>
        <w:spacing w:after="120" w:line="276"/>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Forest plot of adjusted odds ratios for the association between mETE and the composite recurrence-risk band across prespecified subgroups. ORs less than 1 indicate lower odds of assignment to a higher composite risk band. The estimate in patients aged ≥55 years attenuated toward the null (OR 0.87) relative to younger patients.</w:t>
      </w:r>
    </w:p>
    <w:p>
      <w:pPr>
        <w:spacing w:after="120" w:line="276"/>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Migration in AJCC classification between the 7th and 8th editions among evaluable patients (N = 3,269). Overall, 1,872 patients (57.3%) were downstaged and 12 (0.4%) were upstaged; among patients with mETE, 1,241 of 1,736 (71.5%) were downstaged. The paired comparison of 7th- versus 8th-edition classification was significant (McNemar P &lt; 0.001).</w:t>
      </w:r>
    </w:p>
    <w:p>
      <w:pPr>
        <w:spacing w:before="360"/>
      </w:pPr>
      <w:r>
        <w:rPr>
          <w:rFonts w:ascii="Times New Roman" w:cs="Times New Roman" w:eastAsia="Times New Roman" w:hAnsi="Times New Roman"/>
          <w:b/>
          <w:bCs/>
          <w:sz w:val="24"/>
          <w:szCs w:val="24"/>
        </w:rPr>
        <w:t xml:space="preserve">Supplementary Figures (not in main text):</w:t>
      </w:r>
    </w:p>
    <w:p>
      <w:pPr>
        <w:spacing w:after="120" w:line="276"/>
      </w:pPr>
      <w:r>
        <w:rPr>
          <w:rFonts w:ascii="Times New Roman" w:cs="Times New Roman" w:eastAsia="Times New Roman" w:hAnsi="Times New Roman"/>
          <w:b/>
          <w:bCs/>
          <w:sz w:val="24"/>
          <w:szCs w:val="24"/>
        </w:rPr>
        <w:t xml:space="preserve">Figure S1: </w:t>
      </w:r>
      <w:r>
        <w:rPr>
          <w:rFonts w:ascii="Times New Roman" w:cs="Times New Roman" w:eastAsia="Times New Roman" w:hAnsi="Times New Roman"/>
          <w:sz w:val="24"/>
          <w:szCs w:val="24"/>
        </w:rPr>
        <w:t xml:space="preserve">Distribution of extrathyroidal extension (ETE) categories in the analytic cohort (N = 3,278). mETE was the most common category (1,736/3,278, 53.0%), followed by gross ETE (818/3,278, 25.0%) and no ETE (724/3,278, 22.1%).</w:t>
      </w:r>
    </w:p>
    <w:p>
      <w:pPr>
        <w:spacing w:after="120" w:line="276"/>
      </w:pPr>
      <w:r>
        <w:rPr>
          <w:rFonts w:ascii="Times New Roman" w:cs="Times New Roman" w:eastAsia="Times New Roman" w:hAnsi="Times New Roman"/>
          <w:b/>
          <w:bCs/>
          <w:sz w:val="24"/>
          <w:szCs w:val="24"/>
        </w:rPr>
        <w:t xml:space="preserve">Figure S2: </w:t>
      </w:r>
      <w:r>
        <w:rPr>
          <w:rFonts w:ascii="Times New Roman" w:cs="Times New Roman" w:eastAsia="Times New Roman" w:hAnsi="Times New Roman"/>
          <w:sz w:val="24"/>
          <w:szCs w:val="24"/>
        </w:rPr>
        <w:t xml:space="preserve">Distribution of the composite recurrence-risk band according to ETE category. Gross ETE is displayed for descriptive completeness but is not analytically interpretable in this framework because gross ETE is a component of the derived high-risk outcome.</w:t>
      </w:r>
    </w:p>
    <w:p>
      <w:pPr>
        <w:spacing w:after="120" w:line="276"/>
      </w:pPr>
      <w:r>
        <w:rPr>
          <w:rFonts w:ascii="Times New Roman" w:cs="Times New Roman" w:eastAsia="Times New Roman" w:hAnsi="Times New Roman"/>
          <w:b/>
          <w:bCs/>
          <w:sz w:val="24"/>
          <w:szCs w:val="24"/>
        </w:rPr>
        <w:t xml:space="preserve">Figure S3: </w:t>
      </w:r>
      <w:r>
        <w:rPr>
          <w:rFonts w:ascii="Times New Roman" w:cs="Times New Roman" w:eastAsia="Times New Roman" w:hAnsi="Times New Roman"/>
          <w:sz w:val="24"/>
          <w:szCs w:val="24"/>
        </w:rPr>
        <w:t xml:space="preserve">Discrimination of the base and full ordinal models for the three-level composite recurrence-risk band. Base model CV-AUC = 0.851 ± 0.020; full model CV-AUC = 0.876 ± 0.010; ΔAUC = 0.025. Because gross ETE is embedded in the composite outcome, this comparison should be interpreted descriptively rather than as a clean test of independent prognostic discrimination.</w:t>
      </w:r>
    </w:p>
    <w:p>
      <w:pPr>
        <w:spacing w:after="120" w:line="276"/>
      </w:pPr>
      <w:r>
        <w:rPr>
          <w:rFonts w:ascii="Times New Roman" w:cs="Times New Roman" w:eastAsia="Times New Roman" w:hAnsi="Times New Roman"/>
          <w:b/>
          <w:bCs/>
          <w:sz w:val="24"/>
          <w:szCs w:val="24"/>
        </w:rPr>
        <w:t xml:space="preserve">Figure S4: </w:t>
      </w:r>
      <w:r>
        <w:rPr>
          <w:rFonts w:ascii="Times New Roman" w:cs="Times New Roman" w:eastAsia="Times New Roman" w:hAnsi="Times New Roman"/>
          <w:sz w:val="24"/>
          <w:szCs w:val="24"/>
        </w:rPr>
        <w:t xml:space="preserve">Longitudinal thyroglobulin (Tg) measurements according to ETE group and recurrence-risk band. Descriptive; interpret in the context of heterogeneous availability and duration of serial Tg follow-up.</w:t>
      </w:r>
    </w:p>
    <w:p>
      <w:pPr>
        <w:spacing w:after="120" w:line="276"/>
      </w:pPr>
      <w:r>
        <w:rPr>
          <w:rFonts w:ascii="Times New Roman" w:cs="Times New Roman" w:eastAsia="Times New Roman" w:hAnsi="Times New Roman"/>
          <w:b/>
          <w:bCs/>
          <w:sz w:val="24"/>
          <w:szCs w:val="24"/>
        </w:rPr>
        <w:t xml:space="preserve">Figure S5: </w:t>
      </w:r>
      <w:r>
        <w:rPr>
          <w:rFonts w:ascii="Times New Roman" w:cs="Times New Roman" w:eastAsia="Times New Roman" w:hAnsi="Times New Roman"/>
          <w:sz w:val="24"/>
          <w:szCs w:val="24"/>
        </w:rPr>
        <w:t xml:space="preserve">Kaplan–Meier curves in the full cohort by ETE group, shown descriptively. Because the primary proxy endpoint is a derived risk band rather than a directly observed time-to-event outcome, this figure should be interpreted as illustrative only.</w:t>
      </w:r>
    </w:p>
    <w:p>
      <w:pPr>
        <w:spacing w:after="120" w:line="276"/>
      </w:pPr>
      <w:r>
        <w:rPr>
          <w:rFonts w:ascii="Times New Roman" w:cs="Times New Roman" w:eastAsia="Times New Roman" w:hAnsi="Times New Roman"/>
          <w:b/>
          <w:bCs/>
          <w:sz w:val="24"/>
          <w:szCs w:val="24"/>
        </w:rPr>
        <w:t xml:space="preserve">Figure S6: </w:t>
      </w:r>
      <w:r>
        <w:rPr>
          <w:rFonts w:ascii="Times New Roman" w:cs="Times New Roman" w:eastAsia="Times New Roman" w:hAnsi="Times New Roman"/>
          <w:sz w:val="24"/>
          <w:szCs w:val="24"/>
        </w:rPr>
        <w:t xml:space="preserve">Forest plot of adjusted odds ratios for mETE across alternative cohort definitions and sensitivity analyses. Point estimates remained below 1.0 (range, 0.44–0.60): full PTC cohort OR 0.60, classic-variant subgroup OR 0.52, original classic-variant cohort OR 0.50. Consistent direction of association across all specifications.</w:t>
      </w:r>
    </w:p>
    <w:p>
      <w:r>
        <w:br w:type="page"/>
      </w:r>
    </w:p>
    <w:p>
      <w:pPr>
        <w:pStyle w:val="Heading1"/>
        <w:spacing w:after="200" w:before="360"/>
      </w:pPr>
      <w:r>
        <w:rPr>
          <w:rFonts w:ascii="Times New Roman" w:cs="Times New Roman" w:eastAsia="Times New Roman" w:hAnsi="Times New Roman"/>
          <w:b/>
          <w:bCs/>
          <w:sz w:val="28"/>
          <w:szCs w:val="28"/>
        </w:rPr>
        <w:t xml:space="preserve">ETHICAL APPROVAL</w:t>
      </w:r>
    </w:p>
    <w:p>
      <w:pPr>
        <w:spacing w:after="120" w:line="276"/>
      </w:pPr>
      <w:r>
        <w:rPr>
          <w:rFonts w:ascii="Times New Roman" w:cs="Times New Roman" w:eastAsia="Times New Roman" w:hAnsi="Times New Roman"/>
          <w:sz w:val="24"/>
          <w:szCs w:val="24"/>
        </w:rPr>
        <w:t xml:space="preserve">This study was approved by the local institutional review board. The requirement for informed consent was waived because of the retrospective observational design and use of de-identified data. Specific institutional identifiers are masked for blinded review.</w:t>
      </w:r>
    </w:p>
    <w:p>
      <w:pPr>
        <w:pStyle w:val="Heading1"/>
        <w:spacing w:after="200" w:before="360"/>
      </w:pPr>
      <w:r>
        <w:rPr>
          <w:rFonts w:ascii="Times New Roman" w:cs="Times New Roman" w:eastAsia="Times New Roman" w:hAnsi="Times New Roman"/>
          <w:b/>
          <w:bCs/>
          <w:sz w:val="28"/>
          <w:szCs w:val="28"/>
        </w:rPr>
        <w:t xml:space="preserve">CONSENT TO PARTICIPATE</w:t>
      </w:r>
    </w:p>
    <w:p>
      <w:pPr>
        <w:spacing w:after="120" w:line="276"/>
      </w:pPr>
      <w:r>
        <w:rPr>
          <w:rFonts w:ascii="Times New Roman" w:cs="Times New Roman" w:eastAsia="Times New Roman" w:hAnsi="Times New Roman"/>
          <w:sz w:val="24"/>
          <w:szCs w:val="24"/>
        </w:rPr>
        <w:t xml:space="preserve">Waived by the Institutional Review Board because of the retrospective observational design.</w:t>
      </w:r>
    </w:p>
    <w:p>
      <w:pPr>
        <w:pStyle w:val="Heading1"/>
        <w:spacing w:after="200" w:before="360"/>
      </w:pPr>
      <w:r>
        <w:rPr>
          <w:rFonts w:ascii="Times New Roman" w:cs="Times New Roman" w:eastAsia="Times New Roman" w:hAnsi="Times New Roman"/>
          <w:b/>
          <w:bCs/>
          <w:sz w:val="28"/>
          <w:szCs w:val="28"/>
        </w:rPr>
        <w:t xml:space="preserve">CONSENT FOR PUBLICATION</w:t>
      </w:r>
    </w:p>
    <w:p>
      <w:pPr>
        <w:spacing w:after="120" w:line="276"/>
      </w:pPr>
      <w:r>
        <w:rPr>
          <w:rFonts w:ascii="Times New Roman" w:cs="Times New Roman" w:eastAsia="Times New Roman" w:hAnsi="Times New Roman"/>
          <w:sz w:val="24"/>
          <w:szCs w:val="24"/>
        </w:rPr>
        <w:t xml:space="preserve">Not applicable.</w:t>
      </w:r>
    </w:p>
    <w:p>
      <w:pPr>
        <w:pStyle w:val="Heading1"/>
        <w:spacing w:after="200" w:before="360"/>
      </w:pPr>
      <w:r>
        <w:rPr>
          <w:rFonts w:ascii="Times New Roman" w:cs="Times New Roman" w:eastAsia="Times New Roman" w:hAnsi="Times New Roman"/>
          <w:b/>
          <w:bCs/>
          <w:sz w:val="28"/>
          <w:szCs w:val="28"/>
        </w:rPr>
        <w:t xml:space="preserve">DATA AVAILABILITY</w:t>
      </w:r>
    </w:p>
    <w:p>
      <w:pPr>
        <w:spacing w:after="120" w:line="276"/>
      </w:pPr>
      <w:r>
        <w:rPr>
          <w:rFonts w:ascii="Times New Roman" w:cs="Times New Roman" w:eastAsia="Times New Roman" w:hAnsi="Times New Roman"/>
          <w:sz w:val="24"/>
          <w:szCs w:val="24"/>
        </w:rPr>
        <w:t xml:space="preserve">Analysis code and a frozen release corresponding to this submission are archived at Zenodo (https://doi.org/10.5281/zenodo.18945510). The archive contains the full analytic code, derivation logic, data dictionary, and reproducible output files necessary to audit all analyses reported herein. Patient-level data are not publicly available because of IRB and privacy restrictions but may be made available to qualified researchers upon reasonable request and institutional data-use agreement. All outputs are traceable to specific repository commits (deterministic seed = 42 throughout).</w:t>
      </w:r>
    </w:p>
    <w:p>
      <w:pPr>
        <w:pStyle w:val="Heading1"/>
        <w:spacing w:after="200" w:before="360"/>
      </w:pPr>
      <w:r>
        <w:rPr>
          <w:rFonts w:ascii="Times New Roman" w:cs="Times New Roman" w:eastAsia="Times New Roman" w:hAnsi="Times New Roman"/>
          <w:b/>
          <w:bCs/>
          <w:sz w:val="28"/>
          <w:szCs w:val="28"/>
        </w:rPr>
        <w:t xml:space="preserve">DECLARATION OF CONFLICTING INTERESTS</w:t>
      </w:r>
    </w:p>
    <w:p>
      <w:pPr>
        <w:spacing w:after="120" w:line="276"/>
      </w:pPr>
      <w:r>
        <w:rPr>
          <w:rFonts w:ascii="Times New Roman" w:cs="Times New Roman" w:eastAsia="Times New Roman" w:hAnsi="Times New Roman"/>
          <w:sz w:val="24"/>
          <w:szCs w:val="24"/>
        </w:rPr>
        <w:t xml:space="preserve">The author(s) declared no potential conflicts of interest with respect to the research, authorship, and/or publication of this article.</w:t>
      </w:r>
    </w:p>
    <w:p>
      <w:pPr>
        <w:pStyle w:val="Heading1"/>
        <w:spacing w:after="200" w:before="360"/>
      </w:pPr>
      <w:r>
        <w:rPr>
          <w:rFonts w:ascii="Times New Roman" w:cs="Times New Roman" w:eastAsia="Times New Roman" w:hAnsi="Times New Roman"/>
          <w:b/>
          <w:bCs/>
          <w:sz w:val="28"/>
          <w:szCs w:val="28"/>
        </w:rPr>
        <w:t xml:space="preserve">FUNDING</w:t>
      </w:r>
    </w:p>
    <w:p>
      <w:pPr>
        <w:spacing w:after="120" w:line="276"/>
      </w:pPr>
      <w:r>
        <w:rPr>
          <w:rFonts w:ascii="Times New Roman" w:cs="Times New Roman" w:eastAsia="Times New Roman" w:hAnsi="Times New Roman"/>
          <w:sz w:val="24"/>
          <w:szCs w:val="24"/>
        </w:rPr>
        <w:t xml:space="preserve">The author(s) received no financial support for the research, authorship, and/or publication of this article.</w:t>
      </w:r>
    </w:p>
    <w:p>
      <w:pPr>
        <w:pStyle w:val="Heading1"/>
        <w:spacing w:after="200" w:before="360"/>
      </w:pPr>
      <w:r>
        <w:rPr>
          <w:rFonts w:ascii="Times New Roman" w:cs="Times New Roman" w:eastAsia="Times New Roman" w:hAnsi="Times New Roman"/>
          <w:b/>
          <w:bCs/>
          <w:sz w:val="28"/>
          <w:szCs w:val="28"/>
        </w:rPr>
        <w:t xml:space="preserve">AUTHOR CONTRIBUTIONS</w:t>
      </w:r>
    </w:p>
    <w:p>
      <w:pPr>
        <w:spacing w:after="120" w:line="276"/>
      </w:pPr>
      <w:r>
        <w:rPr>
          <w:rFonts w:ascii="Times New Roman" w:cs="Times New Roman" w:eastAsia="Times New Roman" w:hAnsi="Times New Roman"/>
          <w:sz w:val="24"/>
          <w:szCs w:val="24"/>
        </w:rPr>
        <w:t xml:space="preserve">L.D.G.: Conceptualization, Methodology, Formal Analysis, Software, Data Curation, Writing — Original Draft, Writing — Review and Editing, Visualization. M.G.M.: Data Curation, Writing — Review and Editing. E.M.: Writing — Review and Editing. C.N.: Data Curation, Writing — Review and Editing. J.S.: Supervision, Writing — Review and Editing. N.S.: Writing — Review and Editing. C.J.W.: Writing — Review and Editing. A.S.J.: Writing — Review and Editing. T.S.Y.: Writing — Review and Editing. S.G.P.: Supervision, Writing — Review and Editing. All authors approved the final manuscript.</w:t>
      </w:r>
    </w:p>
    <w:p>
      <w:pPr>
        <w:pStyle w:val="Heading1"/>
        <w:spacing w:after="200" w:before="360"/>
      </w:pPr>
      <w:r>
        <w:rPr>
          <w:rFonts w:ascii="Times New Roman" w:cs="Times New Roman" w:eastAsia="Times New Roman" w:hAnsi="Times New Roman"/>
          <w:b/>
          <w:bCs/>
          <w:sz w:val="28"/>
          <w:szCs w:val="28"/>
        </w:rPr>
        <w:t xml:space="preserve">ACKNOWLEDGMENTS</w:t>
      </w:r>
    </w:p>
    <w:p>
      <w:pPr>
        <w:spacing w:after="120" w:line="276"/>
      </w:pPr>
      <w:r>
        <w:rPr>
          <w:rFonts w:ascii="Times New Roman" w:cs="Times New Roman" w:eastAsia="Times New Roman" w:hAnsi="Times New Roman"/>
          <w:sz w:val="24"/>
          <w:szCs w:val="24"/>
        </w:rPr>
        <w:t xml:space="preserve">None.</w:t>
      </w:r>
    </w:p>
    <w:p>
      <w:pPr>
        <w:pStyle w:val="Heading1"/>
        <w:spacing w:after="200" w:before="360"/>
      </w:pPr>
      <w:r>
        <w:rPr>
          <w:rFonts w:ascii="Times New Roman" w:cs="Times New Roman" w:eastAsia="Times New Roman" w:hAnsi="Times New Roman"/>
          <w:b/>
          <w:bCs/>
          <w:sz w:val="28"/>
          <w:szCs w:val="28"/>
        </w:rPr>
        <w:t xml:space="preserve">AI-USE DISCLOSURE</w:t>
      </w:r>
    </w:p>
    <w:p>
      <w:pPr>
        <w:spacing w:after="120" w:line="276"/>
      </w:pPr>
      <w:r>
        <w:rPr>
          <w:rFonts w:ascii="Times New Roman" w:cs="Times New Roman" w:eastAsia="Times New Roman" w:hAnsi="Times New Roman"/>
          <w:sz w:val="24"/>
          <w:szCs w:val="24"/>
        </w:rPr>
        <w:t xml:space="preserve">An AI-assisted tool (Elicit) was used for literature screening, retrieval, and structured data extraction during the supplementary literature review. AI-assisted tools were also used for code review and manuscript editing. All AI-generated outputs were reviewed and verified by the authors. The authors accept full responsibility for the content of this article.</w:t>
      </w:r>
    </w:p>
    <w:p>
      <w:pPr>
        <w:pStyle w:val="Heading1"/>
        <w:spacing w:after="200" w:before="360"/>
      </w:pPr>
      <w:r>
        <w:rPr>
          <w:rFonts w:ascii="Times New Roman" w:cs="Times New Roman" w:eastAsia="Times New Roman" w:hAnsi="Times New Roman"/>
          <w:b/>
          <w:bCs/>
          <w:sz w:val="28"/>
          <w:szCs w:val="28"/>
        </w:rPr>
        <w:t xml:space="preserve">STROBE COMPLIANCE</w:t>
      </w:r>
    </w:p>
    <w:p>
      <w:pPr>
        <w:spacing w:after="120" w:line="276"/>
      </w:pPr>
      <w:r>
        <w:rPr>
          <w:rFonts w:ascii="Times New Roman" w:cs="Times New Roman" w:eastAsia="Times New Roman" w:hAnsi="Times New Roman"/>
          <w:sz w:val="24"/>
          <w:szCs w:val="24"/>
        </w:rPr>
        <w:t xml:space="preserve">This study was prepared in accordance with the Strengthening the Reporting of Observational Studies in Epidemiology (STROBE) guidelines for cohort studies. The completed STROBE checklist, with page/section references to this manuscript, is provided as a mandatory supplementary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2026-03-26T19:37:17.515Z</dcterms:created>
  <dcterms:modified xsi:type="dcterms:W3CDTF">2026-03-26T19:37:17.516Z</dcterms:modified>
</cp:coreProperties>
</file>

<file path=docProps/custom.xml><?xml version="1.0" encoding="utf-8"?>
<Properties xmlns="http://schemas.openxmlformats.org/officeDocument/2006/custom-properties" xmlns:vt="http://schemas.openxmlformats.org/officeDocument/2006/docPropsVTypes"/>
</file>