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7"/>
          <w:sz w:val="36"/>
          <w:szCs w:val="36"/>
        </w:rPr>
        <w:t xml:space="preserve">Dry-Run Statistical Analysis Report</w:t>
      </w:r>
    </w:p>
    <w:p>
      <w:pPr>
        <w:spacing w:after="60"/>
        <w:jc w:val="center"/>
      </w:pPr>
      <w:r>
        <w:rPr>
          <w:rFonts w:ascii="Arial" w:cs="Arial" w:eastAsia="Arial" w:hAnsi="Arial"/>
          <w:color w:val="555555"/>
          <w:sz w:val="26"/>
          <w:szCs w:val="26"/>
        </w:rPr>
        <w:t xml:space="preserve">Prompts 8 &amp; 9: Complications, Surgical Outcomes, and NLP Validation</w:t>
      </w:r>
    </w:p>
    <w:p>
      <w:pPr>
        <w:spacing w:after="300"/>
        <w:jc w:val="center"/>
      </w:pPr>
      <w:r>
        <w:rPr>
          <w:rFonts w:ascii="Arial" w:cs="Arial" w:eastAsia="Arial" w:hAnsi="Arial"/>
          <w:color w:val="888888"/>
          <w:sz w:val="20"/>
          <w:szCs w:val="20"/>
        </w:rPr>
        <w:t xml:space="preserve">Database: thyroid_canonical_publication_v1_0 | N = 10,871 | Date: April 16, 2026</w:t>
      </w:r>
    </w:p>
    <w:p>
      <w:pPr>
        <w:pStyle w:val="Heading1"/>
        <w:spacing w:after="120" w:before="280"/>
      </w:pPr>
      <w:r>
        <w:rPr>
          <w:rFonts w:ascii="Arial" w:cs="Arial" w:eastAsia="Arial" w:hAnsi="Arial"/>
        </w:rPr>
        <w:t xml:space="preserve">PROMPT 8 — Complications &amp; Surgical Outcomes</w:t>
      </w:r>
    </w:p>
    <w:p>
      <w:pPr>
        <w:pStyle w:val="Heading2"/>
        <w:spacing w:after="120" w:before="280"/>
      </w:pPr>
      <w:r>
        <w:rPr>
          <w:rFonts w:ascii="Arial" w:cs="Arial" w:eastAsia="Arial" w:hAnsi="Arial"/>
        </w:rPr>
        <w:t xml:space="preserve">1. Complication Rates (All Patients, N=10,871)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1100"/>
        <w:gridCol w:w="1100"/>
        <w:gridCol w:w="1400"/>
        <w:gridCol w:w="146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Complication</w:t>
            </w:r>
          </w:p>
        </w:tc>
        <w:tc>
          <w:tcPr>
            <w:tcW w:type="dxa" w:w="1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Confirmed N</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Rate %</w:t>
            </w:r>
          </w:p>
        </w:tc>
        <w:tc>
          <w:tcPr>
            <w:tcW w:type="dxa" w:w="1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Transient</w:t>
            </w:r>
          </w:p>
        </w:tc>
        <w:tc>
          <w:tcPr>
            <w:tcW w:type="dxa" w:w="11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Permanent</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Expected Range</w:t>
            </w:r>
          </w:p>
        </w:tc>
        <w:tc>
          <w:tcPr>
            <w:tcW w:type="dxa" w:w="14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Flag</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Hypocalcemia</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0.17%</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24</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20–30%</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10x BELOW</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Hypoparathyroidism</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34</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0.31%</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15–25%</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10x BELOW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RLN Injury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0.54%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 range (low end)</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VC Paralysis</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0.00%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0.5–3%</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ZERO CASES</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VC Paresis</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0.00%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2–5%</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ZERO CASES</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Hematoma</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38</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0.35%</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1–3%</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3x BELOW</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Seroma</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28</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0.26%</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1–5%</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4x BELOW</w:t>
            </w:r>
          </w:p>
        </w:tc>
      </w:tr>
      <w:tr>
        <w:tc>
          <w:tcPr>
            <w:tcW w:type="dxa" w:w="22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Wound Infection</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0.02%</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1–2%</w:t>
            </w:r>
          </w:p>
        </w:tc>
        <w:tc>
          <w:tcPr>
            <w:tcW w:type="dxa" w:w="14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 50x BELOW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Chyle Leak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&lt;1%</w:t>
            </w:r>
          </w:p>
        </w:tc>
        <w:tc>
          <w:tcPr>
            <w:tcW w:type="dxa" w:w="1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 range</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CRITICAL FLAG: </w:t>
      </w:r>
      <w:r>
        <w:rPr>
          <w:rFonts w:ascii="Arial" w:cs="Arial" w:eastAsia="Arial" w:hAnsi="Arial"/>
          <w:sz w:val="22"/>
          <w:szCs w:val="22"/>
        </w:rPr>
        <w:t xml:space="preserve">All complication rates are dramatically below expected literature ranges. Hypocalcemia at 0.17% (expected 20–30% transient after total thyroidectomy) represents &gt;100x under-ascertainment. VC paralysis and VC paresis have zero confirmed cases despite 59 confirmed RLN injuries. Transient counts exceed confirmed counts for hypocalcemia (24 transient vs 18 confirmed), suggesting boolean logic errors in the ETL pipeline.</w:t>
      </w:r>
    </w:p>
    <w:p>
      <w:pPr>
        <w:pStyle w:val="Heading2"/>
        <w:spacing w:after="120" w:before="280"/>
      </w:pPr>
      <w:r>
        <w:rPr>
          <w:rFonts w:ascii="Arial" w:cs="Arial" w:eastAsia="Arial" w:hAnsi="Arial"/>
        </w:rPr>
        <w:t xml:space="preserve">2. Complication × Surgery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000"/>
        <w:gridCol w:w="1200"/>
        <w:gridCol w:w="1000"/>
        <w:gridCol w:w="960"/>
      </w:tblGrid>
      <w:tr>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Surgery Type</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Hypocalcemia %</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RLN Injury %</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9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Hematoma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Lobectomy (false)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4,172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0.02%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4,172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4,172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0.41%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Thyroidectomy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4,561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4,561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4,561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0.35%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 (unknown)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2,138</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0.23%</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Flag: </w:t>
      </w:r>
      <w:r>
        <w:rPr>
          <w:rFonts w:ascii="Arial" w:cs="Arial" w:eastAsia="Arial" w:hAnsi="Arial"/>
          <w:sz w:val="22"/>
          <w:szCs w:val="22"/>
        </w:rPr>
        <w:t xml:space="preserve">Hypocalcemia in lobectomy is 0.02% (1 case in 4,172). While hypocalcemia &gt;10% in lobectomy would be unusual, the rate across all surgery types is so low that the lobectomy-specific flag is moot. The 2,138 patients (19.7%) with NULL surgery type is itself a data gap.</w:t>
      </w:r>
    </w:p>
    <w:p>
      <w:pPr>
        <w:pStyle w:val="Heading2"/>
        <w:spacing w:after="120" w:before="280"/>
      </w:pPr>
      <w:r>
        <w:rPr>
          <w:rFonts w:ascii="Arial" w:cs="Arial" w:eastAsia="Arial" w:hAnsi="Arial"/>
        </w:rPr>
        <w:t xml:space="preserve">3. Evidence Tier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60"/>
        <w:gridCol w:w="180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Complication</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 1 (Strong)</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 2</w:t>
            </w:r>
          </w:p>
        </w:tc>
        <w:tc>
          <w:tcPr>
            <w:tcW w:type="dxa" w:w="17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 3 (Weak)</w:t>
            </w:r>
          </w:p>
        </w:tc>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Tier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Hypocalcemia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Hypoparathyroidism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RLN Injury</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19</w:t>
            </w:r>
          </w:p>
        </w:tc>
        <w:tc>
          <w:tcPr>
            <w:tcW w:type="dxa" w:w="176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34</w:t>
            </w:r>
          </w:p>
        </w:tc>
        <w:tc>
          <w:tcPr>
            <w:tcW w:type="dxa" w:w="18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Hematoma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Seroma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Wound Infection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Chyle Leak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100%</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Flag: </w:t>
      </w:r>
      <w:r>
        <w:rPr>
          <w:rFonts w:ascii="Arial" w:cs="Arial" w:eastAsia="Arial" w:hAnsi="Arial"/>
          <w:sz w:val="22"/>
          <w:szCs w:val="22"/>
        </w:rPr>
        <w:t xml:space="preserve">RLN injury is the only complication with multi-tier evidence: only 10.2% are tier 1 (strong), while 57.6% (34/59) are tier 3 (weak). This suggests most RLN injury ascertainment comes from indirect NLP extraction rather than direct clinical documentation.</w:t>
      </w:r>
    </w:p>
    <w:p>
      <w:pPr>
        <w:pStyle w:val="Heading2"/>
        <w:spacing w:after="120" w:before="280"/>
      </w:pPr>
      <w:r>
        <w:rPr>
          <w:rFonts w:ascii="Arial" w:cs="Arial" w:eastAsia="Arial" w:hAnsi="Arial"/>
        </w:rPr>
        <w:t xml:space="preserve">4. Complication Timing (days_postop)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000"/>
        <w:gridCol w:w="1000"/>
        <w:gridCol w:w="1000"/>
        <w:gridCol w:w="1060"/>
        <w:gridCol w:w="900"/>
        <w:gridCol w:w="90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Complication</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 w/ timing</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Median</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w:t>
            </w:r>
          </w:p>
        </w:tc>
        <w:tc>
          <w:tcPr>
            <w:tcW w:type="dxa" w:w="10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&lt; 0 days</w:t>
            </w:r>
          </w:p>
        </w:tc>
        <w:tc>
          <w:tcPr>
            <w:tcW w:type="dxa" w:w="9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&gt; 365 days</w:t>
            </w:r>
          </w:p>
        </w:tc>
      </w:tr>
      <w:tr>
        <w:tc>
          <w:tcPr>
            <w:tcW w:type="dxa" w:w="1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Hypocalcemia</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-966.4</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405</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-11,317</w:t>
            </w:r>
          </w:p>
        </w:tc>
        <w:tc>
          <w:tcPr>
            <w:tcW w:type="dxa" w:w="10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3,378</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4</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9</w:t>
            </w:r>
          </w:p>
        </w:tc>
      </w:tr>
      <w:tr>
        <w:tc>
          <w:tcPr>
            <w:tcW w:type="dxa" w:w="1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Hypoparathyroidism</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34</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1,141.6</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1,619.5</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-11,317</w:t>
            </w:r>
          </w:p>
        </w:tc>
        <w:tc>
          <w:tcPr>
            <w:tcW w:type="dxa" w:w="10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3,242</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23</w:t>
            </w:r>
          </w:p>
        </w:tc>
      </w:tr>
      <w:tr>
        <w:tc>
          <w:tcPr>
            <w:tcW w:type="dxa" w:w="18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RLN Injury</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59</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2,008.6</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176</w:t>
            </w:r>
          </w:p>
        </w:tc>
        <w:tc>
          <w:tcPr>
            <w:tcW w:type="dxa" w:w="10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-96</w:t>
            </w:r>
          </w:p>
        </w:tc>
        <w:tc>
          <w:tcPr>
            <w:tcW w:type="dxa" w:w="10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8,207</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w:t>
            </w:r>
          </w:p>
        </w:tc>
        <w:tc>
          <w:tcPr>
            <w:tcW w:type="dxa" w:w="9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28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Hematoma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87.2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753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Seroma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6,901.7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6,831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6,826</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7,048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Wound Infection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Chyle Leak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262.8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CRITICAL FLAGS: </w:t>
      </w:r>
      <w:r>
        <w:rPr>
          <w:rFonts w:ascii="Arial" w:cs="Arial" w:eastAsia="Arial" w:hAnsi="Arial"/>
          <w:sz w:val="22"/>
          <w:szCs w:val="22"/>
        </w:rPr>
        <w:t xml:space="preserve">(a) Hypocalcemia has a minimum of -11,317 days (31 years before surgery) — 4 patients have negative values. This is a date-math or join error. (b) Seroma has median 6,831 days (~18.7 years post-op) which is implausible. (c) RLN injury has 28 cases &gt;365 days and a max of 8,207 days (~22.5 years), suggesting chronic findings are being backdated to surgical complications. (d) Hypoparathyroidism: 23/34 confirmed cases have &gt;365 day timing, indicating these may be chronic endocrine conditions rather than surgical complications.</w:t>
      </w:r>
    </w:p>
    <w:p>
      <w:pPr>
        <w:pStyle w:val="Heading2"/>
        <w:spacing w:after="120" w:before="280"/>
      </w:pPr>
      <w:r>
        <w:rPr>
          <w:rFonts w:ascii="Arial" w:cs="Arial" w:eastAsia="Arial" w:hAnsi="Arial"/>
        </w:rPr>
        <w:t xml:space="preserve">5. Voice Outcomes &amp; RLN Cross-Tabulation</w:t>
      </w:r>
    </w:p>
    <w:p>
      <w:pPr>
        <w:spacing w:after="80"/>
      </w:pPr>
      <w:r>
        <w:rPr>
          <w:rFonts w:ascii="Arial" w:cs="Arial" w:eastAsia="Arial" w:hAnsi="Arial"/>
          <w:b/>
          <w:bCs/>
          <w:sz w:val="22"/>
          <w:szCs w:val="22"/>
        </w:rPr>
        <w:t xml:space="preserve">Voice data coverage: </w:t>
      </w:r>
      <w:r>
        <w:rPr>
          <w:rFonts w:ascii="Arial" w:cs="Arial" w:eastAsia="Arial" w:hAnsi="Arial"/>
          <w:sz w:val="22"/>
          <w:szCs w:val="22"/>
        </w:rPr>
        <w:t xml:space="preserve">Only 25/10,871 patients (0.23%) have has_voice_data=true. This is extremely sparse.</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Voice outcome category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no_injury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10,846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single_assessment_only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permanent_paralysis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prolonged_paresis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w:t>
            </w:r>
          </w:p>
        </w:tc>
      </w:tr>
    </w:tbl>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RLN injury type × voice outcome cross-tabulation: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RLN Injury Type</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Voice: no_injury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Voice: permanent_paralysis</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Voice: other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paralysis</w:t>
            </w:r>
          </w:p>
        </w:tc>
        <w:tc>
          <w:tcPr>
            <w:tcW w:type="dxa" w:w="234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 (single_assess)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paresis</w:t>
            </w:r>
          </w:p>
        </w:tc>
        <w:tc>
          <w:tcPr>
            <w:tcW w:type="dxa" w:w="23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 (prolonged)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rln_injury</w:t>
            </w:r>
          </w:p>
        </w:tc>
        <w:tc>
          <w:tcPr>
            <w:tcW w:type="dxa" w:w="234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 (single_assess)</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CRITICAL FLAG: </w:t>
      </w:r>
      <w:r>
        <w:rPr>
          <w:rFonts w:ascii="Arial" w:cs="Arial" w:eastAsia="Arial" w:hAnsi="Arial"/>
          <w:sz w:val="22"/>
          <w:szCs w:val="22"/>
        </w:rPr>
        <w:t xml:space="preserve">35 patients with rln_injury_type=‘paralysis’ have voice_outcome=‘no_injury’. While some paralysis cases may resolve, labeling them ‘no_injury’ is internally contradictory. Similarly, 22 paresis patients and 10 generic rln_injury patients show ‘no_injury’ voice outcome. This suggests the voice_outcome field defaults to ‘no_injury’ when no voice assessment data exists, rather than being NULL.</w:t>
      </w:r>
    </w:p>
    <w:p>
      <w:pPr>
        <w:pStyle w:val="Heading2"/>
        <w:spacing w:after="120" w:before="280"/>
      </w:pPr>
      <w:r>
        <w:rPr>
          <w:rFonts w:ascii="Arial" w:cs="Arial" w:eastAsia="Arial" w:hAnsi="Arial"/>
        </w:rPr>
        <w:t xml:space="preserve">6. NSQIP Cross-Validation</w:t>
      </w:r>
    </w:p>
    <w:p>
      <w:pPr>
        <w:spacing w:after="120"/>
      </w:pPr>
      <w:r>
        <w:rPr>
          <w:rFonts w:ascii="Arial" w:cs="Arial" w:eastAsia="Arial" w:hAnsi="Arial"/>
          <w:sz w:val="22"/>
          <w:szCs w:val="22"/>
        </w:rPr>
        <w:t xml:space="preserve">Among patients with nsqip_thyroidectomy_has_data=true (N=1,261):</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RLN Injury Concordance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comp_rln_confirmed=false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comp_rln_confirmed=NULL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nsqip_rln_flag=0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718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nsqip_rln_flag=1</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5</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81</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Flag: </w:t>
      </w:r>
      <w:r>
        <w:rPr>
          <w:rFonts w:ascii="Arial" w:cs="Arial" w:eastAsia="Arial" w:hAnsi="Arial"/>
          <w:sz w:val="22"/>
          <w:szCs w:val="22"/>
        </w:rPr>
        <w:t xml:space="preserve">Of 88 NSQIP-flagged RLN injuries, only 2 are confirmed in the canonical complication field (2.3% concordance). 81 NSQIP-positive cases have NULL canonical status, and 5 are explicitly false. This is a major cross-source validation failure.</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Hematoma Concordance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comp_hematoma_confirmed=false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comp_hematoma_confirmed=NULL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nsqip_hematoma_flag=0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917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nsqip_hematoma_flag=1</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14</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Flag: </w:t>
      </w:r>
      <w:r>
        <w:rPr>
          <w:rFonts w:ascii="Arial" w:cs="Arial" w:eastAsia="Arial" w:hAnsi="Arial"/>
          <w:sz w:val="22"/>
          <w:szCs w:val="22"/>
        </w:rPr>
        <w:t xml:space="preserve">Of 16 NSQIP-flagged hematomas, only 1 is confirmed canonically (6.3%). 14 are NULL. Same pattern as RLN — NSQIP data is not being integrated into the canonical complication fields.</w:t>
      </w:r>
    </w:p>
    <w:p>
      <w:pPr>
        <w:pStyle w:val="Heading2"/>
        <w:spacing w:after="120" w:before="280"/>
      </w:pPr>
      <w:r>
        <w:rPr>
          <w:rFonts w:ascii="Arial" w:cs="Arial" w:eastAsia="Arial" w:hAnsi="Arial"/>
        </w:rPr>
        <w:t xml:space="preserve">Prompt 8 — Top 5 Complication Data Quality Concerns</w:t>
      </w:r>
    </w:p>
    <w:p>
      <w:pPr>
        <w:pStyle w:val="ListParagraph"/>
        <w:numPr>
          <w:ilvl w:val="0"/>
          <w:numId w:val="2"/>
        </w:numPr>
        <w:spacing w:after="120"/>
      </w:pPr>
      <w:r>
        <w:rPr>
          <w:rFonts w:ascii="Arial" w:cs="Arial" w:eastAsia="Arial" w:hAnsi="Arial"/>
          <w:sz w:val="22"/>
          <w:szCs w:val="22"/>
        </w:rPr>
        <w:t xml:space="preserve">Severe under-ascertainment across all complications: Hypocalcemia at 0.17% vs expected 20–30% represents &gt;100x gap. Every complication except chyle leak is flagged as 10x+ below expected. This suggests the complication extraction pipeline is capturing only a small fraction of true events.</w:t>
      </w:r>
    </w:p>
    <w:p>
      <w:pPr>
        <w:pStyle w:val="ListParagraph"/>
        <w:numPr>
          <w:ilvl w:val="0"/>
          <w:numId w:val="2"/>
        </w:numPr>
        <w:spacing w:after="120"/>
      </w:pPr>
      <w:r>
        <w:rPr>
          <w:rFonts w:ascii="Arial" w:cs="Arial" w:eastAsia="Arial" w:hAnsi="Arial"/>
          <w:sz w:val="22"/>
          <w:szCs w:val="22"/>
        </w:rPr>
        <w:t xml:space="preserve">Impossible timing values: 4 hypocalcemia cases and 2 RLN injuries have negative days_postop (min: -11,317 days = 31 years pre-surgery). Seroma median is 6,831 days (~18.7 years). These are date-math errors or incorrect joins to the wrong surgical event.</w:t>
      </w:r>
    </w:p>
    <w:p>
      <w:pPr>
        <w:pStyle w:val="ListParagraph"/>
        <w:numPr>
          <w:ilvl w:val="0"/>
          <w:numId w:val="2"/>
        </w:numPr>
        <w:spacing w:after="120"/>
      </w:pPr>
      <w:r>
        <w:rPr>
          <w:rFonts w:ascii="Arial" w:cs="Arial" w:eastAsia="Arial" w:hAnsi="Arial"/>
          <w:sz w:val="22"/>
          <w:szCs w:val="22"/>
        </w:rPr>
        <w:t xml:space="preserve">RLN injury ↔ voice outcome contradiction: 67 patients (35 paralysis + 22 paresis + 10 generic) have confirmed RLN injury but voice_outcome=‘no_injury’. The voice field appears to default to ‘no_injury’ rather than NULL, making it unreliable for analysis.</w:t>
      </w:r>
    </w:p>
    <w:p>
      <w:pPr>
        <w:pStyle w:val="ListParagraph"/>
        <w:numPr>
          <w:ilvl w:val="0"/>
          <w:numId w:val="2"/>
        </w:numPr>
        <w:spacing w:after="120"/>
      </w:pPr>
      <w:r>
        <w:rPr>
          <w:rFonts w:ascii="Arial" w:cs="Arial" w:eastAsia="Arial" w:hAnsi="Arial"/>
          <w:sz w:val="22"/>
          <w:szCs w:val="22"/>
        </w:rPr>
        <w:t xml:space="preserve">NSQIP cross-validation failure: 88 NSQIP-flagged RLN injuries yield only 2 canonical confirmations (2.3%). 16 NSQIP-flagged hematomas yield 1 confirmation (6.3%). NSQIP complication data is not being propagated to the canonical fields.</w:t>
      </w:r>
    </w:p>
    <w:p>
      <w:pPr>
        <w:pStyle w:val="ListParagraph"/>
        <w:numPr>
          <w:ilvl w:val="0"/>
          <w:numId w:val="2"/>
        </w:numPr>
        <w:spacing w:after="120"/>
      </w:pPr>
      <w:r>
        <w:rPr>
          <w:rFonts w:ascii="Arial" w:cs="Arial" w:eastAsia="Arial" w:hAnsi="Arial"/>
          <w:sz w:val="22"/>
          <w:szCs w:val="22"/>
        </w:rPr>
        <w:t xml:space="preserve">Missing transient/permanent classification: RLN injury (59 confirmed) has 0 transient and 0 permanent. Hematoma (38), seroma (28), chyle leak (20) all show 0/0 transient/permanent. Only hypocalcemia and hypoparathyroidism have any transient classification. The permanence axis is largely unpopulated.</w:t>
      </w:r>
    </w:p>
    <w:p/>
    <w:p>
      <w:pPr>
        <w:pStyle w:val="Heading1"/>
        <w:spacing w:after="120" w:before="280"/>
      </w:pPr>
      <w:r>
        <w:rPr>
          <w:rFonts w:ascii="Arial" w:cs="Arial" w:eastAsia="Arial" w:hAnsi="Arial"/>
        </w:rPr>
        <w:t xml:space="preserve">PROMPT 9 — NLP Extraction Coverage &amp; Cross-Source Validation</w:t>
      </w:r>
    </w:p>
    <w:p>
      <w:pPr>
        <w:pStyle w:val="Heading2"/>
        <w:spacing w:after="120" w:before="280"/>
      </w:pPr>
      <w:r>
        <w:rPr>
          <w:rFonts w:ascii="Arial" w:cs="Arial" w:eastAsia="Arial" w:hAnsi="Arial"/>
        </w:rPr>
        <w:t xml:space="preserve">1. NLP Domain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NLP Domain</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 with Data</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Coverage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nlp_path (pathology)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2,794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25.70%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nlp_imaging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15.90%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nlp_tirads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15.78%</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nlp_ln (lymph node)</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868</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7.98%</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nlp_labs</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791</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7.28%</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nlp_vasc (vascular invasion)</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653</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6.01%</w:t>
            </w:r>
          </w:p>
        </w:tc>
      </w:tr>
      <w:tr>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sz w:val="18"/>
                <w:szCs w:val="18"/>
              </w:rPr>
              <w:t xml:space="preserve">nlp_pmhx (med history)</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290</w:t>
            </w:r>
          </w:p>
        </w:tc>
        <w:tc>
          <w:tcPr>
            <w:tcW w:type="dxa" w:w="312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2.67%</w:t>
            </w:r>
          </w:p>
        </w:tc>
      </w:tr>
      <w:tr>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nlp_frozensec</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184</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1.69%</w:t>
            </w:r>
          </w:p>
        </w:tc>
      </w:tr>
      <w:tr>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nlp_rec (recurrence)</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133</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1.22%</w:t>
            </w:r>
          </w:p>
        </w:tc>
      </w:tr>
      <w:tr>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nlp_parathyroid</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110</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1.01%</w:t>
            </w:r>
          </w:p>
        </w:tc>
      </w:tr>
      <w:tr>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nlp_tg (thyroglobulin)</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49</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0.45%</w:t>
            </w:r>
          </w:p>
        </w:tc>
      </w:tr>
      <w:tr>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r>
              <w:rPr>
                <w:rFonts w:ascii="Arial" w:cs="Arial" w:eastAsia="Arial" w:hAnsi="Arial"/>
                <w:sz w:val="18"/>
                <w:szCs w:val="18"/>
              </w:rPr>
              <w:t xml:space="preserve">nlp_synoptic</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0.07%</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Assessment: </w:t>
      </w:r>
      <w:r>
        <w:rPr>
          <w:rFonts w:ascii="Arial" w:cs="Arial" w:eastAsia="Arial" w:hAnsi="Arial"/>
          <w:sz w:val="22"/>
          <w:szCs w:val="22"/>
        </w:rPr>
        <w:t xml:space="preserve">Only nlp_path (25.7%), nlp_imaging (15.9%), and nlp_tirads (15.8%) have meaningful coverage. Six domains are below 3%, and nlp_synoptic covers just 8 patients (0.07%). nlp_tg at 0.45% is concerning given that thyroglobulin is a critical surveillance marker.</w:t>
      </w:r>
    </w:p>
    <w:p>
      <w:pPr>
        <w:pStyle w:val="Heading2"/>
        <w:spacing w:after="120" w:before="280"/>
      </w:pPr>
      <w:r>
        <w:rPr>
          <w:rFonts w:ascii="Arial" w:cs="Arial" w:eastAsia="Arial" w:hAnsi="Arial"/>
        </w:rPr>
        <w:t xml:space="preserve">2. NLP vs Structured Cross-Validation</w:t>
      </w:r>
    </w:p>
    <w:p>
      <w:pPr>
        <w:spacing w:after="120"/>
        <w:rPr>
          <w:b/>
          <w:bCs/>
        </w:rPr>
      </w:pPr>
      <w:r>
        <w:rPr>
          <w:rFonts w:ascii="Arial" w:cs="Arial" w:eastAsia="Arial" w:hAnsi="Arial"/>
          <w:b/>
          <w:bCs/>
          <w:sz w:val="22"/>
          <w:szCs w:val="22"/>
        </w:rPr>
        <w:t xml:space="preserve">2a. Frozen Section:</w:t>
      </w:r>
    </w:p>
    <w:p>
      <w:pPr>
        <w:spacing w:after="120"/>
      </w:pPr>
      <w:r>
        <w:rPr>
          <w:rFonts w:ascii="Arial" w:cs="Arial" w:eastAsia="Arial" w:hAnsi="Arial"/>
          <w:sz w:val="22"/>
          <w:szCs w:val="22"/>
        </w:rPr>
        <w:t xml:space="preserve">NLP frozen section coverage: 184 patients. Structured syn_frozen_section=true: 3,696. Only 83 patients have both NLP and structured data (concordant). 45 patients have NLP data but syn_frozen_section=false. 56 have NLP data with NULL structured. 3,613 have structured data but no NLP extraction.</w:t>
      </w:r>
    </w:p>
    <w:p>
      <w:pPr>
        <w:spacing w:after="80"/>
      </w:pPr>
      <w:r>
        <w:rPr>
          <w:rFonts w:ascii="Arial" w:cs="Arial" w:eastAsia="Arial" w:hAnsi="Arial"/>
          <w:b/>
          <w:bCs/>
          <w:sz w:val="22"/>
          <w:szCs w:val="22"/>
        </w:rPr>
        <w:t xml:space="preserve">Flag: </w:t>
      </w:r>
      <w:r>
        <w:rPr>
          <w:rFonts w:ascii="Arial" w:cs="Arial" w:eastAsia="Arial" w:hAnsi="Arial"/>
          <w:sz w:val="22"/>
          <w:szCs w:val="22"/>
        </w:rPr>
        <w:t xml:space="preserve">NLP covers only 5.0% of the frozen section universe. Frozen section NLP key findings are highly heterogeneous (126 unique strings), suggesting free-text extraction without normalization.</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2b. Pathology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600"/>
        <w:gridCol w:w="2060"/>
        <w:gridCol w:w="2200"/>
      </w:tblGrid>
      <w:tr>
        <w:tc>
          <w:tcPr>
            <w:tcW w:type="dxa" w:w="1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Field</w:t>
            </w:r>
          </w:p>
        </w:tc>
        <w:tc>
          <w:tcPr>
            <w:tcW w:type="dxa" w:w="17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Both Positive</w:t>
            </w:r>
          </w:p>
        </w:tc>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NLP Only</w:t>
            </w:r>
          </w:p>
        </w:tc>
        <w:tc>
          <w:tcPr>
            <w:tcW w:type="dxa" w:w="20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Structured Only</w:t>
            </w:r>
          </w:p>
        </w:tc>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Both Negative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470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13</w:t>
            </w:r>
          </w:p>
        </w:tc>
        <w:tc>
          <w:tcPr>
            <w:tcW w:type="dxa" w:w="206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3,605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6,783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Multifocal</w:t>
            </w:r>
          </w:p>
        </w:tc>
        <w:tc>
          <w:tcPr>
            <w:tcW w:type="dxa" w:w="17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1600"/>
            <w:tcBorders>
              <w:top w:val="single" w:color="CCCCCC" w:sz="1"/>
              <w:left w:val="single" w:color="CCCCCC" w:sz="1"/>
              <w:bottom w:val="single" w:color="CCCCCC" w:sz="1"/>
              <w:right w:val="single" w:color="CCCCCC" w:sz="1"/>
            </w:tcBorders>
            <w:shd w:fill="FFD7D7" w:val="clear"/>
            <w:tcMar>
              <w:top w:type="dxa" w:w="60"/>
              <w:left w:type="dxa" w:w="100"/>
              <w:bottom w:type="dxa" w:w="60"/>
              <w:right w:type="dxa" w:w="100"/>
            </w:tcMar>
          </w:tcPr>
          <w:p>
            <w:pPr>
              <w:jc w:val="right"/>
            </w:pPr>
            <w:r>
              <w:rPr>
                <w:rFonts w:ascii="Arial" w:cs="Arial" w:eastAsia="Arial" w:hAnsi="Arial"/>
                <w:sz w:val="18"/>
                <w:szCs w:val="18"/>
              </w:rPr>
              <w:t xml:space="preserve">1,059</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9,812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LN Positive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119</w:t>
            </w:r>
          </w:p>
        </w:tc>
        <w:tc>
          <w:tcPr>
            <w:tcW w:type="dxa" w:w="16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right"/>
            </w:pPr>
            <w:r>
              <w:rPr>
                <w:rFonts w:ascii="Arial" w:cs="Arial" w:eastAsia="Arial" w:hAnsi="Arial"/>
                <w:sz w:val="18"/>
                <w:szCs w:val="18"/>
              </w:rPr>
              <w:t xml:space="preserve">475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9,272</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CRITICAL FLAG — Multifocal: </w:t>
      </w:r>
      <w:r>
        <w:rPr>
          <w:rFonts w:ascii="Arial" w:cs="Arial" w:eastAsia="Arial" w:hAnsi="Arial"/>
          <w:sz w:val="22"/>
          <w:szCs w:val="22"/>
        </w:rPr>
        <w:t xml:space="preserve">NLP detects 1,059 multifocal mentions but the structured multifocal_flag is NULL for ALL of them (0 concordant). Investigation shows these patients map to path_multifocal_flag or multifocal_flag_path instead. The primary multifocal_flag column is completely disconnected from both NLP and alternative path columns.</w:t>
      </w:r>
    </w:p>
    <w:p>
      <w:pPr>
        <w:spacing w:after="80"/>
      </w:pPr>
      <w:r>
        <w:rPr>
          <w:rFonts w:ascii="Arial" w:cs="Arial" w:eastAsia="Arial" w:hAnsi="Arial"/>
          <w:b/>
          <w:bCs/>
          <w:sz w:val="22"/>
          <w:szCs w:val="22"/>
        </w:rPr>
        <w:t xml:space="preserve">Flag — ETE: </w:t>
      </w:r>
      <w:r>
        <w:rPr>
          <w:rFonts w:ascii="Arial" w:cs="Arial" w:eastAsia="Arial" w:hAnsi="Arial"/>
          <w:sz w:val="22"/>
          <w:szCs w:val="22"/>
        </w:rPr>
        <w:t xml:space="preserve">3,605 patients have structured ETE data but no NLP detection (NLP sensitivity = 11.5%). NLP ETE extraction is very incomplete.</w:t>
      </w:r>
    </w:p>
    <w:p>
      <w:pPr>
        <w:spacing w:after="80"/>
      </w:pPr>
      <w:r>
        <w:rPr>
          <w:rFonts w:ascii="Arial" w:cs="Arial" w:eastAsia="Arial" w:hAnsi="Arial"/>
          <w:b/>
          <w:bCs/>
          <w:sz w:val="22"/>
          <w:szCs w:val="22"/>
        </w:rPr>
        <w:t xml:space="preserve">Flag — LN Positive: </w:t>
      </w:r>
      <w:r>
        <w:rPr>
          <w:rFonts w:ascii="Arial" w:cs="Arial" w:eastAsia="Arial" w:hAnsi="Arial"/>
          <w:sz w:val="22"/>
          <w:szCs w:val="22"/>
        </w:rPr>
        <w:t xml:space="preserve">475 NLP-only positives vs 119 concordant vs 191 structured-only. NLP is capturing mentions not reflected in structured data, possibly from clinical notes rather than final pathology.</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2c. Recurrence:</w:t>
      </w:r>
    </w:p>
    <w:p>
      <w:pPr>
        <w:spacing w:after="120"/>
      </w:pPr>
      <w:r>
        <w:rPr>
          <w:rFonts w:ascii="Arial" w:cs="Arial" w:eastAsia="Arial" w:hAnsi="Arial"/>
          <w:sz w:val="22"/>
          <w:szCs w:val="22"/>
        </w:rPr>
        <w:t xml:space="preserve">Recurrence concordance: 91 both positive, 42 NLP-only, 293 structured-only, 10,445 both negative. NLP sensitivity for recurrence = 91/(91+293) = 23.7%. NLP captures less than a quarter of known recurrences.</w:t>
      </w:r>
    </w:p>
    <w:p>
      <w:pPr>
        <w:spacing w:after="120"/>
      </w:pPr>
      <w:r>
        <w:rPr>
          <w:rFonts w:ascii="Arial" w:cs="Arial" w:eastAsia="Arial" w:hAnsi="Arial"/>
          <w:sz w:val="22"/>
          <w:szCs w:val="22"/>
        </w:rPr>
        <w:t xml:space="preserve">Disease-free concordance: Only 11 patients have both NLP disease-free mention and structured no-recurrence flag, despite 10,487 patients without recurrence. NLP disease-free extraction is near-zero.</w:t>
      </w:r>
    </w:p>
    <w:p>
      <w:pPr>
        <w:pStyle w:val="Heading2"/>
        <w:spacing w:after="120" w:before="280"/>
      </w:pPr>
      <w:r>
        <w:rPr>
          <w:rFonts w:ascii="Arial" w:cs="Arial" w:eastAsia="Arial" w:hAnsi="Arial"/>
        </w:rPr>
        <w:t xml:space="preserve">3. NLP Entity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1000"/>
        <w:gridCol w:w="182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Domain</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 non-NULL</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w:t>
            </w:r>
          </w:p>
        </w:tc>
        <w:tc>
          <w:tcPr>
            <w:tcW w:type="dxa" w:w="1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Median</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w:t>
            </w:r>
          </w:p>
        </w:tc>
        <w:tc>
          <w:tcPr>
            <w:tcW w:type="dxa" w:w="18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has_data but 0 entities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nlp_path_n_entities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2,794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121</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nlp_ln_n_entities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48</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nlp_tg_n_entities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w:t>
            </w:r>
          </w:p>
        </w:tc>
        <w:tc>
          <w:tcPr>
            <w:tcW w:type="dxa" w:w="18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0</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Good news: </w:t>
      </w:r>
      <w:r>
        <w:rPr>
          <w:rFonts w:ascii="Arial" w:cs="Arial" w:eastAsia="Arial" w:hAnsi="Arial"/>
          <w:sz w:val="22"/>
          <w:szCs w:val="22"/>
        </w:rPr>
        <w:t xml:space="preserve">No cases where has_data=true but n_entities=0. Entity counts are reasonable. nlp_path extracts up to 121 entities per patient (mean 12.6), indicating rich pathology note content when available.</w:t>
      </w:r>
    </w:p>
    <w:p>
      <w:pPr>
        <w:pStyle w:val="Heading2"/>
        <w:spacing w:after="120" w:before="280"/>
      </w:pPr>
      <w:r>
        <w:rPr>
          <w:rFonts w:ascii="Arial" w:cs="Arial" w:eastAsia="Arial" w:hAnsi="Arial"/>
        </w:rPr>
        <w:t xml:space="preserve">4. Operative Note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Field</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True</w:t>
            </w:r>
          </w:p>
        </w:tc>
        <w:tc>
          <w:tcPr>
            <w:tcW w:type="dxa" w:w="1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False</w:t>
            </w:r>
          </w:p>
        </w:tc>
        <w:tc>
          <w:tcPr>
            <w:tcW w:type="dxa" w:w="312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op_nlp_nerve_monitoring_used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3,493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6,843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op_nlp_parathyroid_managed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3,107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6,843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op_nlp_reoperative_field</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3,921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6,843</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Note: </w:t>
      </w:r>
      <w:r>
        <w:rPr>
          <w:rFonts w:ascii="Arial" w:cs="Arial" w:eastAsia="Arial" w:hAnsi="Arial"/>
          <w:sz w:val="22"/>
          <w:szCs w:val="22"/>
        </w:rPr>
        <w:t xml:space="preserve">All three fields share exactly 6,843 NULLs (62.9%), indicating op note NLP was run on 4,028 patients. Among those, nerve monitoring was used in 86.7% (3,493/4,028) and parathyroid management documented in 22.9%.</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EBL: </w:t>
      </w:r>
      <w:r>
        <w:rPr>
          <w:rFonts w:ascii="Arial" w:cs="Arial" w:eastAsia="Arial" w:hAnsi="Arial"/>
          <w:sz w:val="22"/>
          <w:szCs w:val="22"/>
        </w:rPr>
        <w:t xml:space="preserve">1,613 patients have EBL data. Mean 52.6 mL, median 25 mL, max 1,800 mL. No cases &gt;2,000 mL. The max of 1,800 mL is high for thyroid surgery but plausible in complex reoperative or locally invasive cases.</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Reoperative cross-check: </w:t>
      </w:r>
      <w:r>
        <w:rPr>
          <w:rFonts w:ascii="Arial" w:cs="Arial" w:eastAsia="Arial" w:hAnsi="Arial"/>
          <w:sz w:val="22"/>
          <w:szCs w:val="22"/>
        </w:rPr>
        <w:t xml:space="preserve">op_nlp_reoperative_field=true: 107. op_reoperative_any=true: 46. Only 37 are concordant on both. 70 NLP-identified reoperative cases have NULL in the structured field, and 9 structured reoperative cases have NLP=false.</w:t>
      </w:r>
    </w:p>
    <w:p>
      <w:pPr>
        <w:pStyle w:val="Heading2"/>
        <w:spacing w:after="120" w:before="280"/>
      </w:pPr>
      <w:r>
        <w:rPr>
          <w:rFonts w:ascii="Arial" w:cs="Arial" w:eastAsia="Arial" w:hAnsi="Arial"/>
        </w:rPr>
        <w:t xml:space="preserve">5. Medication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Medication</w:t>
            </w:r>
          </w:p>
        </w:tc>
        <w:tc>
          <w:tcPr>
            <w:tcW w:type="dxa" w:w="46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Patients with True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med_nlp_levothyroxine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1,491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med_nlp_calcium_supplement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304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med_nlp_calcitriol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154</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CRITICAL FLAG: </w:t>
      </w:r>
      <w:r>
        <w:rPr>
          <w:rFonts w:ascii="Arial" w:cs="Arial" w:eastAsia="Arial" w:hAnsi="Arial"/>
          <w:sz w:val="22"/>
          <w:szCs w:val="22"/>
        </w:rPr>
        <w:t xml:space="preserve">1,048 patients had total thyroidectomy + &gt;1 year follow-up but NO levothyroxine detected by NLP. Since virtually all total thyroidectomy patients require lifelong levothyroxine, this represents massive under-detection. Only 1,491/4,561 (32.7%) of total thyroidectomy patients have levothyroxine NLP documentation.</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Calcium cross-check: </w:t>
      </w:r>
      <w:r>
        <w:rPr>
          <w:rFonts w:ascii="Arial" w:cs="Arial" w:eastAsia="Arial" w:hAnsi="Arial"/>
          <w:sz w:val="22"/>
          <w:szCs w:val="22"/>
        </w:rPr>
        <w:t xml:space="preserve">Of 18 confirmed hypocalcemia patients, 13 have calcium supplement documentation (72.2%), which is reasonable. However, 141 non-hypocalcemic patients also have calcium documentation, which may represent prophylactic supplementation or mild cases not meeting the confirmed threshold.</w:t>
      </w:r>
    </w:p>
    <w:p>
      <w:pPr>
        <w:pStyle w:val="Heading2"/>
        <w:spacing w:after="120" w:before="280"/>
      </w:pPr>
      <w:r>
        <w:rPr>
          <w:rFonts w:ascii="Arial" w:cs="Arial" w:eastAsia="Arial" w:hAnsi="Arial"/>
        </w:rPr>
        <w:t xml:space="preserve">Prompt 9 — Top 5 NLP Data Quality Concerns</w:t>
      </w:r>
    </w:p>
    <w:p>
      <w:pPr>
        <w:pStyle w:val="ListParagraph"/>
        <w:numPr>
          <w:ilvl w:val="0"/>
          <w:numId w:val="3"/>
        </w:numPr>
        <w:spacing w:after="120"/>
      </w:pPr>
      <w:r>
        <w:rPr>
          <w:rFonts w:ascii="Arial" w:cs="Arial" w:eastAsia="Arial" w:hAnsi="Arial"/>
          <w:sz w:val="22"/>
          <w:szCs w:val="22"/>
        </w:rPr>
        <w:t xml:space="preserve">Multifocal field disconnect: NLP identifies 1,059 multifocal mentions, but the primary multifocal_flag is NULL for all of them. Data exists in path_multifocal_flag and multifocal_flag_path instead. The canonical field needs remapping or the NLP-to-structured join is broken.</w:t>
      </w:r>
    </w:p>
    <w:p>
      <w:pPr>
        <w:pStyle w:val="ListParagraph"/>
        <w:numPr>
          <w:ilvl w:val="0"/>
          <w:numId w:val="3"/>
        </w:numPr>
        <w:spacing w:after="120"/>
      </w:pPr>
      <w:r>
        <w:rPr>
          <w:rFonts w:ascii="Arial" w:cs="Arial" w:eastAsia="Arial" w:hAnsi="Arial"/>
          <w:sz w:val="22"/>
          <w:szCs w:val="22"/>
        </w:rPr>
        <w:t xml:space="preserve">Levothyroxine under-detection: Only 32.7% of total thyroidectomy patients show levothyroxine via NLP. 1,048 patients with &gt;1 year follow-up after total thyroidectomy have no levothyroxine documentation. Either medication NLP coverage is very sparse or it is failing to extract this nearly universal medication.</w:t>
      </w:r>
    </w:p>
    <w:p>
      <w:pPr>
        <w:pStyle w:val="ListParagraph"/>
        <w:numPr>
          <w:ilvl w:val="0"/>
          <w:numId w:val="3"/>
        </w:numPr>
        <w:spacing w:after="120"/>
      </w:pPr>
      <w:r>
        <w:rPr>
          <w:rFonts w:ascii="Arial" w:cs="Arial" w:eastAsia="Arial" w:hAnsi="Arial"/>
          <w:sz w:val="22"/>
          <w:szCs w:val="22"/>
        </w:rPr>
        <w:t xml:space="preserve">Very low NLP coverage in critical domains: nlp_tg (thyroglobulin) at 0.45%, nlp_rec (recurrence) at 1.22%, and nlp_synoptic at 0.07%. These are clinically essential domains with near-zero NLP extraction, limiting any NLP-driven analyses.</w:t>
      </w:r>
    </w:p>
    <w:p>
      <w:pPr>
        <w:pStyle w:val="ListParagraph"/>
        <w:numPr>
          <w:ilvl w:val="0"/>
          <w:numId w:val="3"/>
        </w:numPr>
        <w:spacing w:after="120"/>
      </w:pPr>
      <w:r>
        <w:rPr>
          <w:rFonts w:ascii="Arial" w:cs="Arial" w:eastAsia="Arial" w:hAnsi="Arial"/>
          <w:sz w:val="22"/>
          <w:szCs w:val="22"/>
        </w:rPr>
        <w:t xml:space="preserve">Recurrence NLP sensitivity of 23.7%: NLP captures only 91 of 384 known recurrences. This means NLP recurrence data cannot be used as a standalone source and would miss three-quarters of events in any NLP-only analysis.</w:t>
      </w:r>
    </w:p>
    <w:p>
      <w:pPr>
        <w:pStyle w:val="ListParagraph"/>
        <w:numPr>
          <w:ilvl w:val="0"/>
          <w:numId w:val="3"/>
        </w:numPr>
        <w:spacing w:after="120"/>
      </w:pPr>
      <w:r>
        <w:rPr>
          <w:rFonts w:ascii="Arial" w:cs="Arial" w:eastAsia="Arial" w:hAnsi="Arial"/>
          <w:sz w:val="22"/>
          <w:szCs w:val="22"/>
        </w:rPr>
        <w:t xml:space="preserve">Frozen section NLP heterogeneity: 126 unique key_finding strings for 184 patients indicates the NLP is extracting raw text rather than normalizing to a controlled vocabulary. This limits aggregation and statistical analysis. Structured frozen section data covers 20x more patients (3,696 vs 184).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Canonical Dataset Verification — Prompts 8 &amp;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2026-04-16T18:40:40.990Z</dcterms:created>
  <dcterms:modified xsi:type="dcterms:W3CDTF">2026-04-16T18:40:40.990Z</dcterms:modified>
</cp:coreProperties>
</file>

<file path=docProps/custom.xml><?xml version="1.0" encoding="utf-8"?>
<Properties xmlns="http://schemas.openxmlformats.org/officeDocument/2006/custom-properties" xmlns:vt="http://schemas.openxmlformats.org/officeDocument/2006/docPropsVTypes"/>
</file>