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7"/>
          <w:sz w:val="36"/>
          <w:szCs w:val="36"/>
        </w:rPr>
        <w:t xml:space="preserve">Dry-Run Statistical Analysis Report — REVISED</w:t>
      </w:r>
    </w:p>
    <w:p>
      <w:pPr>
        <w:spacing w:after="60"/>
        <w:jc w:val="center"/>
      </w:pPr>
      <w:r>
        <w:rPr>
          <w:rFonts w:ascii="Arial" w:cs="Arial" w:eastAsia="Arial" w:hAnsi="Arial"/>
          <w:color w:val="555555"/>
          <w:sz w:val="26"/>
          <w:szCs w:val="26"/>
        </w:rPr>
        <w:t xml:space="preserve">Prompts 8 &amp; 9: Complications, Surgical Outcomes, and NLP Validation</w:t>
      </w:r>
    </w:p>
    <w:p>
      <w:pPr>
        <w:spacing w:after="60"/>
        <w:jc w:val="center"/>
      </w:pPr>
      <w:r>
        <w:rPr>
          <w:rFonts w:ascii="Arial" w:cs="Arial" w:eastAsia="Arial" w:hAnsi="Arial"/>
          <w:color w:val="888888"/>
          <w:sz w:val="20"/>
          <w:szCs w:val="20"/>
        </w:rPr>
        <w:t xml:space="preserve">Database: thyroid_canonical_publication_v1_0 | N = 10,871 | Date: April 16, 2026</w:t>
      </w:r>
    </w:p>
    <w:p>
      <w:pPr>
        <w:spacing w:after="300"/>
        <w:jc w:val="center"/>
      </w:pPr>
      <w:r>
        <w:rPr>
          <w:rFonts w:ascii="Arial" w:cs="Arial" w:eastAsia="Arial" w:hAnsi="Arial"/>
          <w:i/>
          <w:iCs/>
          <w:color w:val="666666"/>
          <w:sz w:val="18"/>
          <w:szCs w:val="18"/>
        </w:rPr>
        <w:t xml:space="preserve">Revision note: Re-audited using underlying source tables (complication_phenotype_v1, note_entities_*, LLM extraction tables) rather than canonical_patient_master rollup columns alone. Repo pipeline code reviewed for context.</w:t>
      </w:r>
    </w:p>
    <w:p>
      <w:pPr>
        <w:pStyle w:val="Heading1"/>
        <w:spacing w:after="120" w:before="280"/>
      </w:pPr>
      <w:r>
        <w:rPr>
          <w:rFonts w:ascii="Arial" w:cs="Arial" w:eastAsia="Arial" w:hAnsi="Arial"/>
        </w:rPr>
        <w:t xml:space="preserve">Data Architecture Context</w:t>
      </w:r>
    </w:p>
    <w:p>
      <w:pPr>
        <w:spacing w:after="120"/>
      </w:pPr>
      <w:r>
        <w:rPr>
          <w:rFonts w:ascii="Arial" w:cs="Arial" w:eastAsia="Arial" w:hAnsi="Arial"/>
          <w:sz w:val="22"/>
          <w:szCs w:val="22"/>
        </w:rPr>
        <w:t xml:space="preserve">The canonical_patient_master (1,488 columns) is the final rollup surface. However, complication and NLP data are much richer in the underlying tables:</w:t>
      </w:r>
    </w:p>
    <w:p>
      <w:pPr>
        <w:spacing w:after="80"/>
      </w:pPr>
      <w:r>
        <w:rPr>
          <w:rFonts w:ascii="Arial" w:cs="Arial" w:eastAsia="Arial" w:hAnsi="Arial"/>
          <w:b/>
          <w:bCs/>
          <w:sz w:val="22"/>
          <w:szCs w:val="22"/>
        </w:rPr>
        <w:t xml:space="preserve">Complication pipeline: </w:t>
      </w:r>
      <w:r>
        <w:rPr>
          <w:rFonts w:ascii="Arial" w:cs="Arial" w:eastAsia="Arial" w:hAnsi="Arial"/>
          <w:sz w:val="22"/>
          <w:szCs w:val="22"/>
        </w:rPr>
        <w:t xml:space="preserve">note_entities_complications (9,359 raw NLP rows, 2,840 patients) → extracted_complications_refined_v5 (context-aware filtering) → complication_phenotype_v1 (2,892 patients × 9 entities, with confirmed/suspected/probable/surgery-related flags) → complication_patient_summary_v1 (wide-format) → canonical_patient_master comp_* columns.</w:t>
      </w:r>
    </w:p>
    <w:p>
      <w:pPr>
        <w:spacing w:after="80"/>
      </w:pPr>
      <w:r>
        <w:rPr>
          <w:rFonts w:ascii="Arial" w:cs="Arial" w:eastAsia="Arial" w:hAnsi="Arial"/>
          <w:b/>
          <w:bCs/>
          <w:sz w:val="22"/>
          <w:szCs w:val="22"/>
        </w:rPr>
        <w:t xml:space="preserve">NLP pipeline: </w:t>
      </w:r>
      <w:r>
        <w:rPr>
          <w:rFonts w:ascii="Arial" w:cs="Arial" w:eastAsia="Arial" w:hAnsi="Arial"/>
          <w:sz w:val="22"/>
          <w:szCs w:val="22"/>
        </w:rPr>
        <w:t xml:space="preserve">clinical_notes_long (11,037 notes) → 7 regex note_entity tables (4,723 patients max) + 18 LLM extraction tables (5,641 patients with result_json blobs) → scripts/212_nlp_entity_rollup.py → canonical_patient_master nlp_* columns.</w:t>
      </w:r>
    </w:p>
    <w:p>
      <w:pPr>
        <w:spacing w:after="80"/>
      </w:pPr>
      <w:r>
        <w:rPr>
          <w:rFonts w:ascii="Arial" w:cs="Arial" w:eastAsia="Arial" w:hAnsi="Arial"/>
          <w:b/>
          <w:bCs/>
          <w:sz w:val="22"/>
          <w:szCs w:val="22"/>
        </w:rPr>
        <w:t xml:space="preserve">Key denominator: </w:t>
      </w:r>
      <w:r>
        <w:rPr>
          <w:rFonts w:ascii="Arial" w:cs="Arial" w:eastAsia="Arial" w:hAnsi="Arial"/>
          <w:sz w:val="22"/>
          <w:szCs w:val="22"/>
        </w:rPr>
        <w:t xml:space="preserve">Only 2,892 patients (26.6%) have complication phenotyping data. The remaining 7,979 patients lack extracted surgical notes. Only 5,641 patients (51.9%) have LLM note entity data. The low rates in canonical_patient_master reflect this extraction coverage gap, NOT under-coding within the evaluated cohort.</w:t>
      </w:r>
    </w:p>
    <w:p>
      <w:pPr>
        <w:spacing w:after="80"/>
      </w:pPr>
      <w:r>
        <w:rPr>
          <w:rFonts w:ascii="Arial" w:cs="Arial" w:eastAsia="Arial" w:hAnsi="Arial"/>
          <w:b/>
          <w:bCs/>
          <w:sz w:val="22"/>
          <w:szCs w:val="22"/>
        </w:rPr>
        <w:t xml:space="preserve">Acknowledged gap: </w:t>
      </w:r>
      <w:r>
        <w:rPr>
          <w:rFonts w:ascii="Arial" w:cs="Arial" w:eastAsia="Arial" w:hAnsi="Arial"/>
          <w:sz w:val="22"/>
          <w:szCs w:val="22"/>
        </w:rPr>
        <w:t xml:space="preserve">Post-op labs (calcium, PTH) are not yet integrated. Hypocalcemia will remain under-ascertained until biochemical data is linked.</w:t>
      </w:r>
    </w:p>
    <w:p>
      <w:r>
        <w:br w:type="page"/>
      </w:r>
    </w:p>
    <w:p>
      <w:pPr>
        <w:pStyle w:val="Heading1"/>
        <w:spacing w:after="120" w:before="280"/>
      </w:pPr>
      <w:r>
        <w:rPr>
          <w:rFonts w:ascii="Arial" w:cs="Arial" w:eastAsia="Arial" w:hAnsi="Arial"/>
        </w:rPr>
        <w:t xml:space="preserve">PROMPT 8 — Complications &amp; Surgical Outcomes (REVISED)</w:t>
      </w:r>
    </w:p>
    <w:p>
      <w:pPr>
        <w:pStyle w:val="Heading2"/>
        <w:spacing w:after="120" w:before="280"/>
      </w:pPr>
      <w:r>
        <w:rPr>
          <w:rFonts w:ascii="Arial" w:cs="Arial" w:eastAsia="Arial" w:hAnsi="Arial"/>
        </w:rPr>
        <w:t xml:space="preserve">1. Complication Rates — Phenotype Table (N=2,892 patients with data)</w:t>
      </w:r>
    </w:p>
    <w:p>
      <w:pPr>
        <w:spacing w:after="120"/>
      </w:pPr>
      <w:r>
        <w:rPr>
          <w:rFonts w:ascii="Arial" w:cs="Arial" w:eastAsia="Arial" w:hAnsi="Arial"/>
          <w:sz w:val="22"/>
          <w:szCs w:val="22"/>
        </w:rPr>
        <w:t xml:space="preserve">Source: complication_phenotype_v1 (long-format, patient × complication entity). Denominator = 2,892 patients with any complication phenotyping, not the full cohort of 10,871.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800"/>
        <w:gridCol w:w="900"/>
        <w:gridCol w:w="800"/>
        <w:gridCol w:w="1060"/>
        <w:gridCol w:w="1100"/>
        <w:gridCol w:w="100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Complication</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Confirmed</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 %</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Suspected</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Probable</w:t>
            </w:r>
          </w:p>
        </w:tc>
        <w:tc>
          <w:tcPr>
            <w:tcW w:type="dxa" w:w="10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Any Positive</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Any Pos %</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RLN Injury</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59</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2.04%</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25</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59</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2.04%</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1–5%</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Hematoma</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38</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1.31%</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53</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53</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1.83%</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1–3%</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Hypoparathyroidism</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1.18%</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55</w:t>
            </w:r>
          </w:p>
        </w:tc>
        <w:tc>
          <w:tcPr>
            <w:tcW w:type="dxa" w:w="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16</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55</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1.90%</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15–25%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Seroma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Chyle Leak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0.69%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&lt;1%</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Hypocalcemia*</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0.62%</w:t>
            </w:r>
          </w:p>
        </w:tc>
        <w:tc>
          <w:tcPr>
            <w:tcW w:type="dxa" w:w="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65</w:t>
            </w:r>
          </w:p>
        </w:tc>
        <w:tc>
          <w:tcPr>
            <w:tcW w:type="dxa" w:w="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43</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65</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2.25%</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20–30%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Wound Infection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1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VC Paralysis</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0.5–3%</w:t>
            </w:r>
          </w:p>
        </w:tc>
      </w:tr>
      <w:tr>
        <w:tc>
          <w:tcPr>
            <w:tcW w:type="dxa" w:w="1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VC Paresis</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2–5%</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REVISED ASSESSMENT: </w:t>
      </w:r>
      <w:r>
        <w:rPr>
          <w:rFonts w:ascii="Arial" w:cs="Arial" w:eastAsia="Arial" w:hAnsi="Arial"/>
          <w:sz w:val="22"/>
          <w:szCs w:val="22"/>
        </w:rPr>
        <w:t xml:space="preserve">Among the 2,892 patients with complication data, RLN injury (2.04%), hematoma (1.31-1.83%), and seroma (0.97-1.11%) are within or near expected literature ranges. Chyle leak at 0.69% is within the &lt;1% expected range. These rates are clinically plausible.</w:t>
      </w:r>
    </w:p>
    <w:p>
      <w:pPr>
        <w:spacing w:after="80"/>
      </w:pPr>
      <w:r>
        <w:rPr>
          <w:rFonts w:ascii="Arial" w:cs="Arial" w:eastAsia="Arial" w:hAnsi="Arial"/>
          <w:b/>
          <w:bCs/>
          <w:sz w:val="22"/>
          <w:szCs w:val="22"/>
        </w:rPr>
        <w:t xml:space="preserve">Remaining flag — Hypocalcemia*: </w:t>
      </w:r>
      <w:r>
        <w:rPr>
          <w:rFonts w:ascii="Arial" w:cs="Arial" w:eastAsia="Arial" w:hAnsi="Arial"/>
          <w:sz w:val="22"/>
          <w:szCs w:val="22"/>
        </w:rPr>
        <w:t xml:space="preserve">At 0.62% confirmed (2.25% any positive) vs expected 20–30%, hypocalcemia remains significantly under-ascertained. This is an ACKNOWLEDGED GAP: post-op calcium/PTH labs are not yet integrated. The 65 suspected+probable cases come from NLP note mentions without biochemical confirmation.</w:t>
      </w:r>
    </w:p>
    <w:p>
      <w:pPr>
        <w:spacing w:after="80"/>
      </w:pPr>
      <w:r>
        <w:rPr>
          <w:rFonts w:ascii="Arial" w:cs="Arial" w:eastAsia="Arial" w:hAnsi="Arial"/>
          <w:b/>
          <w:bCs/>
          <w:sz w:val="22"/>
          <w:szCs w:val="22"/>
        </w:rPr>
        <w:t xml:space="preserve">Remaining flag — Hypoparathyroidism: </w:t>
      </w:r>
      <w:r>
        <w:rPr>
          <w:rFonts w:ascii="Arial" w:cs="Arial" w:eastAsia="Arial" w:hAnsi="Arial"/>
          <w:sz w:val="22"/>
          <w:szCs w:val="22"/>
        </w:rPr>
        <w:t xml:space="preserve">At 1.18-1.90% vs expected 15–25%, this is also tied to the lab data gap. The 55 suspected cases await biochemical confirmation.</w:t>
      </w:r>
    </w:p>
    <w:p>
      <w:pPr>
        <w:spacing w:after="80"/>
      </w:pPr>
      <w:r>
        <w:rPr>
          <w:rFonts w:ascii="Arial" w:cs="Arial" w:eastAsia="Arial" w:hAnsi="Arial"/>
          <w:b/>
          <w:bCs/>
          <w:sz w:val="22"/>
          <w:szCs w:val="22"/>
        </w:rPr>
        <w:t xml:space="preserve">Remaining flag — VC paralysis/paresis: </w:t>
      </w:r>
      <w:r>
        <w:rPr>
          <w:rFonts w:ascii="Arial" w:cs="Arial" w:eastAsia="Arial" w:hAnsi="Arial"/>
          <w:sz w:val="22"/>
          <w:szCs w:val="22"/>
        </w:rPr>
        <w:t xml:space="preserve">Zero confirmed cases despite 88+71 phenotype rows all classified as absent_or_unconfirmed. These exist as note mentions but the refinement pipeline has not promoted any to confirmed. Review whether the confirmation threshold is too strict.</w:t>
      </w:r>
    </w:p>
    <w:p>
      <w:pPr>
        <w:pStyle w:val="Heading2"/>
        <w:spacing w:after="120" w:before="280"/>
      </w:pPr>
      <w:r>
        <w:rPr>
          <w:rFonts w:ascii="Arial" w:cs="Arial" w:eastAsia="Arial" w:hAnsi="Arial"/>
        </w:rPr>
        <w:t xml:space="preserve">2. Complication × Surgery Type (Phenotype-Based)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000"/>
        <w:gridCol w:w="1000"/>
        <w:gridCol w:w="800"/>
        <w:gridCol w:w="1000"/>
        <w:gridCol w:w="1000"/>
        <w:gridCol w:w="1160"/>
      </w:tblGrid>
      <w:tr>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Surgery</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 pts</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Hypocalcemia Conf</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Hypocalcemia Any+</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RLN Conf</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Hematoma Conf</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HypoPara Any+</w:t>
            </w:r>
          </w:p>
        </w:tc>
        <w:tc>
          <w:tcPr>
            <w:tcW w:type="dxa" w:w="1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 w/ NULL surg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Lobectomy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591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Thyr.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815</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16</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53</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c>
          <w:tcPr>
            <w:tcW w:type="dxa" w:w="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1,486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1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1,486</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1,486 of 2,892 complication-evaluated patients (51.4%) have NULL surgery type. Among total thyroidectomy patients, 55 (6.7%) have any positive hypocalcemia signal and 53 (6.5%) have any positive hypoparathyroidism signal — much more plausible numerators awaiting lab confirmation.</w:t>
      </w:r>
    </w:p>
    <w:p>
      <w:pPr>
        <w:pStyle w:val="Heading2"/>
        <w:spacing w:after="120" w:before="280"/>
      </w:pPr>
      <w:r>
        <w:rPr>
          <w:rFonts w:ascii="Arial" w:cs="Arial" w:eastAsia="Arial" w:hAnsi="Arial"/>
        </w:rPr>
        <w:t xml:space="preserve">3. Evidence Tier Distribution (Confirmed Cases)</w:t>
      </w:r>
    </w:p>
    <w:p>
      <w:pPr>
        <w:spacing w:after="120"/>
      </w:pPr>
      <w:r>
        <w:rPr>
          <w:rFonts w:ascii="Arial" w:cs="Arial" w:eastAsia="Arial" w:hAnsi="Arial"/>
          <w:sz w:val="22"/>
          <w:szCs w:val="22"/>
        </w:rPr>
        <w:t xml:space="preserve">Source tier labels from complication_phenotype_v1, confirmed cases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9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Complication</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Tier 1 (Strong)</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Tier 2/3</w:t>
            </w:r>
          </w:p>
        </w:tc>
        <w:tc>
          <w:tcPr>
            <w:tcW w:type="dxa" w:w="19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Tier 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Hypocalcemia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nlp_refined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9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Hypoparathyroidism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nlp_refined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9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RLN Injury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laryngoscopy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53 (T2:19 chart, T3:34 nlp)</w:t>
            </w:r>
          </w:p>
        </w:tc>
        <w:tc>
          <w:tcPr>
            <w:tcW w:type="dxa" w:w="19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10.2%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Hematoma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 structured + 10 nlp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9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Seroma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structured_chart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9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Chyle Leak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nlp_refined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9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100%</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Assessment: </w:t>
      </w:r>
      <w:r>
        <w:rPr>
          <w:rFonts w:ascii="Arial" w:cs="Arial" w:eastAsia="Arial" w:hAnsi="Arial"/>
          <w:sz w:val="22"/>
          <w:szCs w:val="22"/>
        </w:rPr>
        <w:t xml:space="preserve">RLN injury remains the only complication with substantial low-tier evidence (57.6% Tier 3 NLP). This is expected — RLN injury detection relies heavily on NLP extraction from operative/clinic notes. Only 6 of 59 confirmed RLN injuries have laryngoscopy confirmation (Tier 1). Consider whether Tier 3 NLP-only RLN cases should be reported separately from Tier 1-2.</w:t>
      </w:r>
    </w:p>
    <w:p>
      <w:pPr>
        <w:pStyle w:val="Heading2"/>
        <w:spacing w:after="120" w:before="280"/>
      </w:pPr>
      <w:r>
        <w:rPr>
          <w:rFonts w:ascii="Arial" w:cs="Arial" w:eastAsia="Arial" w:hAnsi="Arial"/>
        </w:rPr>
        <w:t xml:space="preserve">4. Complication Timing — REVISED (Surgery-Related Only)</w:t>
      </w:r>
    </w:p>
    <w:p>
      <w:pPr>
        <w:spacing w:after="120"/>
      </w:pPr>
      <w:r>
        <w:rPr>
          <w:rFonts w:ascii="Arial" w:cs="Arial" w:eastAsia="Arial" w:hAnsi="Arial"/>
          <w:sz w:val="22"/>
          <w:szCs w:val="22"/>
        </w:rPr>
        <w:t xml:space="preserve">The previous report showed impossible timing values (negatives, 18+ years). This was because the canonical_patient_master days_postop column includes ALL phenotype rows (historical, non-surgery-related). The complication_phenotype_v1 table has a surgery_related_flag that when filtered produces clean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100"/>
        <w:gridCol w:w="1100"/>
        <w:gridCol w:w="1060"/>
        <w:gridCol w:w="130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Complication</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 surg-related</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 confirmed+surg</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Min days</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Max days</w:t>
            </w:r>
          </w:p>
        </w:tc>
        <w:tc>
          <w:tcPr>
            <w:tcW w:type="dxa" w:w="10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 days</w:t>
            </w:r>
          </w:p>
        </w:tc>
        <w:tc>
          <w:tcPr>
            <w:tcW w:type="dxa" w:w="13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Timing quality</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Chyle Leak</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1,442</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16</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0.2</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Excellent</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Hypocalcemia</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589</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6</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1.2</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Excellent</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Seroma</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546</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No confirmed+surg</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RLN Injury</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69</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29</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301</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26.8</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Good</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Hematoma</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51</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107</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13.2</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Good</w:t>
            </w:r>
          </w:p>
        </w:tc>
      </w:tr>
      <w:tr>
        <w:tc>
          <w:tcPr>
            <w:tcW w:type="dxa" w:w="18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HypoParathyroidism</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23</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146</w:t>
            </w:r>
          </w:p>
        </w:tc>
        <w:tc>
          <w:tcPr>
            <w:tcW w:type="dxa" w:w="1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22.4</w:t>
            </w:r>
          </w:p>
        </w:tc>
        <w:tc>
          <w:tcPr>
            <w:tcW w:type="dxa" w:w="13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Good</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VC Paralysis</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No confirmed+surg</w:t>
            </w:r>
          </w:p>
        </w:tc>
      </w:tr>
      <w:tr>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VC Paresis</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0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n/a</w:t>
            </w:r>
          </w:p>
        </w:tc>
        <w:tc>
          <w:tcPr>
            <w:tcW w:type="dxa" w:w="13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No confirmed+surg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Wound Infection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case</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REVISED ASSESSMENT: </w:t>
      </w:r>
      <w:r>
        <w:rPr>
          <w:rFonts w:ascii="Arial" w:cs="Arial" w:eastAsia="Arial" w:hAnsi="Arial"/>
          <w:sz w:val="22"/>
          <w:szCs w:val="22"/>
        </w:rPr>
        <w:t xml:space="preserve">When filtered to surgery_related_flag=true, ALL timing values are in plausible ranges: zero negative days, zero &gt;365 days. The previous -11,317 day and 6,831 day values came from historical/non-surgical phenotype rows. The canonical_patient_master comp_*_days_postop column is pulling from unfiltered phenotype data and should be recalculated using surgery_related_flag=true.</w:t>
      </w:r>
    </w:p>
    <w:p>
      <w:pPr>
        <w:spacing w:after="80"/>
      </w:pPr>
      <w:r>
        <w:rPr>
          <w:rFonts w:ascii="Arial" w:cs="Arial" w:eastAsia="Arial" w:hAnsi="Arial"/>
          <w:b/>
          <w:bCs/>
          <w:sz w:val="22"/>
          <w:szCs w:val="22"/>
        </w:rPr>
        <w:t xml:space="preserve">Action item: </w:t>
      </w:r>
      <w:r>
        <w:rPr>
          <w:rFonts w:ascii="Arial" w:cs="Arial" w:eastAsia="Arial" w:hAnsi="Arial"/>
          <w:sz w:val="22"/>
          <w:szCs w:val="22"/>
        </w:rPr>
        <w:t xml:space="preserve">The canonical rollup script (204_canonical_master_assembly.py) should filter complication_phenotype_v1 to surgery_related_flag=true before populating comp_*_days_postop columns.</w:t>
      </w:r>
    </w:p>
    <w:p>
      <w:pPr>
        <w:pStyle w:val="Heading2"/>
        <w:spacing w:after="120" w:before="280"/>
      </w:pPr>
      <w:r>
        <w:rPr>
          <w:rFonts w:ascii="Arial" w:cs="Arial" w:eastAsia="Arial" w:hAnsi="Arial"/>
        </w:rPr>
        <w:t xml:space="preserve">5. Voice Outcomes &amp; RLN Cross-Tabulation</w:t>
      </w:r>
    </w:p>
    <w:p>
      <w:pPr>
        <w:spacing w:after="120"/>
      </w:pPr>
      <w:r>
        <w:rPr>
          <w:rFonts w:ascii="Arial" w:cs="Arial" w:eastAsia="Arial" w:hAnsi="Arial"/>
          <w:sz w:val="22"/>
          <w:szCs w:val="22"/>
        </w:rPr>
        <w:t xml:space="preserve">Voice data remains sparse: 25/10,871 (0.23%) with has_voice_data=true. The RLN × voice outcome contradiction persists: 35 paralysis + 22 paresis patients show voice_outcome=‘no_injury’. The voice_outcome_category field defaults to ‘no_injury’ rather than NULL when no voice assessment exists.</w:t>
      </w:r>
    </w:p>
    <w:p>
      <w:pPr>
        <w:spacing w:after="80"/>
      </w:pPr>
      <w:r>
        <w:rPr>
          <w:rFonts w:ascii="Arial" w:cs="Arial" w:eastAsia="Arial" w:hAnsi="Arial"/>
          <w:b/>
          <w:bCs/>
          <w:sz w:val="22"/>
          <w:szCs w:val="22"/>
        </w:rPr>
        <w:t xml:space="preserve">RLN detail (from extracted_rln_injury_refined_v2): </w:t>
      </w:r>
      <w:r>
        <w:rPr>
          <w:rFonts w:ascii="Arial" w:cs="Arial" w:eastAsia="Arial" w:hAnsi="Arial"/>
          <w:sz w:val="22"/>
          <w:szCs w:val="22"/>
        </w:rPr>
        <w:t xml:space="preserve">92 unique patients with RLN findings. 59 confirmed: 19 nlp_confirmed paralysis, 13 nlp_confirmed paresis, 8 chart_documented unknown type, 6 laryngoscopy_confirmed (4 paralysis, 1 paresis, 1 unknown), 5 chart_documented left-sided, and others. The 3-tier classification (laryngoscopy &gt; chart &gt; NLP) is well-structured.</w:t>
      </w:r>
    </w:p>
    <w:p>
      <w:pPr>
        <w:pStyle w:val="Heading2"/>
        <w:spacing w:after="120" w:before="280"/>
      </w:pPr>
      <w:r>
        <w:rPr>
          <w:rFonts w:ascii="Arial" w:cs="Arial" w:eastAsia="Arial" w:hAnsi="Arial"/>
        </w:rPr>
        <w:t xml:space="preserve">6. NSQIP Cross-Validation (REVISED)</w:t>
      </w:r>
    </w:p>
    <w:p>
      <w:pPr>
        <w:spacing w:after="120"/>
      </w:pPr>
      <w:r>
        <w:rPr>
          <w:rFonts w:ascii="Arial" w:cs="Arial" w:eastAsia="Arial" w:hAnsi="Arial"/>
          <w:sz w:val="22"/>
          <w:szCs w:val="22"/>
        </w:rPr>
        <w:t xml:space="preserve">Using complication_patient_summary_v1 status field instead of canonical boolean: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rln_status=absent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rln_status=absent_or_unconf</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rln_status=confirmed / NULL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nsqip_rln_flag=0</w:t>
            </w:r>
          </w:p>
        </w:tc>
        <w:tc>
          <w:tcPr>
            <w:tcW w:type="dxa" w:w="234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132</w:t>
            </w:r>
          </w:p>
        </w:tc>
        <w:tc>
          <w:tcPr>
            <w:tcW w:type="dxa" w:w="23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508 NULL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nsqip_rln_flag=1</w:t>
            </w:r>
          </w:p>
        </w:tc>
        <w:tc>
          <w:tcPr>
            <w:tcW w:type="dxa" w:w="234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w:t>
            </w:r>
          </w:p>
        </w:tc>
        <w:tc>
          <w:tcPr>
            <w:tcW w:type="dxa" w:w="234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 conf + 59 NULL</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REVISED ASSESSMENT: </w:t>
      </w:r>
      <w:r>
        <w:rPr>
          <w:rFonts w:ascii="Arial" w:cs="Arial" w:eastAsia="Arial" w:hAnsi="Arial"/>
          <w:sz w:val="22"/>
          <w:szCs w:val="22"/>
        </w:rPr>
        <w:t xml:space="preserve">The core issue is coverage mismatch: of 88 NSQIP-positive RLN cases, 59 have NULL complication status (no phenotype row). These 59 patients may not have had surgical notes extracted for the complication pipeline. 20 NSQIP-positive patients are explicitly absent in the phenotype table — these warrant individual chart review. Only 2 are concordant confirmed.</w:t>
      </w:r>
    </w:p>
    <w:p>
      <w:pPr>
        <w:spacing w:after="80"/>
      </w:pPr>
      <w:r>
        <w:rPr>
          <w:rFonts w:ascii="Arial" w:cs="Arial" w:eastAsia="Arial" w:hAnsi="Arial"/>
          <w:b/>
          <w:bCs/>
          <w:sz w:val="22"/>
          <w:szCs w:val="22"/>
        </w:rPr>
        <w:t xml:space="preserve">Interpretation: </w:t>
      </w:r>
      <w:r>
        <w:rPr>
          <w:rFonts w:ascii="Arial" w:cs="Arial" w:eastAsia="Arial" w:hAnsi="Arial"/>
          <w:sz w:val="22"/>
          <w:szCs w:val="22"/>
        </w:rPr>
        <w:t xml:space="preserve">This is primarily a coverage gap (patients with NSQIP data may not have had their operative/clinic notes processed through the NLP complication pipeline) rather than a systematic coding error. The 20 discordant cases (NSQIP=positive, phenotype=absent) are the most actionable.</w:t>
      </w:r>
    </w:p>
    <w:p>
      <w:pPr>
        <w:pStyle w:val="Heading2"/>
        <w:spacing w:after="120" w:before="280"/>
      </w:pPr>
      <w:r>
        <w:rPr>
          <w:rFonts w:ascii="Arial" w:cs="Arial" w:eastAsia="Arial" w:hAnsi="Arial"/>
        </w:rPr>
        <w:t xml:space="preserve">Prompt 8 — Top 5 Complication Data Quality Concerns (REVISED)</w:t>
      </w:r>
    </w:p>
    <w:p>
      <w:r>
        <w:br w:type="page"/>
      </w:r>
    </w:p>
    <w:p>
      <w:pPr>
        <w:pStyle w:val="Heading1"/>
        <w:spacing w:after="120" w:before="280"/>
      </w:pPr>
      <w:r>
        <w:rPr>
          <w:rFonts w:ascii="Arial" w:cs="Arial" w:eastAsia="Arial" w:hAnsi="Arial"/>
        </w:rPr>
        <w:t xml:space="preserve">PROMPT 9 — NLP Extraction Coverage &amp; Cross-Source Validation (REVISED)</w:t>
      </w:r>
    </w:p>
    <w:p>
      <w:pPr>
        <w:pStyle w:val="Heading2"/>
        <w:spacing w:after="120" w:before="280"/>
      </w:pPr>
      <w:r>
        <w:rPr>
          <w:rFonts w:ascii="Arial" w:cs="Arial" w:eastAsia="Arial" w:hAnsi="Arial"/>
        </w:rPr>
        <w:t xml:space="preserve">1. NLP Domain Coverage — Full Picture</w:t>
      </w:r>
    </w:p>
    <w:p>
      <w:pPr>
        <w:spacing w:after="120"/>
      </w:pPr>
      <w:r>
        <w:rPr>
          <w:rFonts w:ascii="Arial" w:cs="Arial" w:eastAsia="Arial" w:hAnsi="Arial"/>
          <w:sz w:val="22"/>
          <w:szCs w:val="22"/>
        </w:rPr>
        <w:t xml:space="preserve">The canonical_patient_master nlp_* columns showed low coverage because they are patient-level rollups of the underlying extraction tables. The actual extraction coverage is much richer:</w:t>
      </w:r>
    </w:p>
    <w:p>
      <w:pPr>
        <w:spacing w:after="120"/>
        <w:rPr>
          <w:b/>
          <w:bCs/>
        </w:rPr>
      </w:pPr>
      <w:r>
        <w:rPr>
          <w:rFonts w:ascii="Arial" w:cs="Arial" w:eastAsia="Arial" w:hAnsi="Arial"/>
          <w:b/>
          <w:bCs/>
          <w:sz w:val="22"/>
          <w:szCs w:val="22"/>
        </w:rPr>
        <w:t xml:space="preserve">Regex-based note_entities (7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60"/>
        <w:gridCol w:w="190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Domain</w:t>
            </w:r>
          </w:p>
        </w:tc>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Patients</w:t>
            </w:r>
          </w:p>
        </w:tc>
        <w:tc>
          <w:tcPr>
            <w:tcW w:type="dxa" w:w="19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Rows</w:t>
            </w:r>
          </w:p>
        </w:tc>
        <w:tc>
          <w:tcPr>
            <w:tcW w:type="dxa" w:w="1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of 10,871</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ne_procedures</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4,723</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21,942</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43.4%</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ne_problem_list</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4,037</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11,579</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37.1%</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ne_operative</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4,032</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12,151</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37.1%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ne_complications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2,840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9,359</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26.1%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ne_medications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2,070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7,501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ne_staging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1,639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3,807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15.1%</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ne_genetics</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605</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1,738</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5.6%</w:t>
            </w:r>
          </w:p>
        </w:tc>
      </w:tr>
    </w:tbl>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LLM-based extraction (18 domains, patients with actual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60"/>
        <w:gridCol w:w="190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LLM Domain</w:t>
            </w:r>
          </w:p>
        </w:tc>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Patients w/ Entities</w:t>
            </w:r>
          </w:p>
        </w:tc>
        <w:tc>
          <w:tcPr>
            <w:tcW w:type="dxa" w:w="19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 Processed</w:t>
            </w:r>
          </w:p>
        </w:tc>
        <w:tc>
          <w:tcPr>
            <w:tcW w:type="dxa" w:w="1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of 10,871</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llm_synoptic</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4,924</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45.3%</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llm_past_surgical</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4,638</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42.7%</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llm_past_medical</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4,636</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42.6%</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llm_survival_followup</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2,994</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27.5%</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llm_cervical_ln</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2,936</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27.0%</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llm_labs</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2,816</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25.9%</w:t>
            </w:r>
          </w:p>
        </w:tc>
      </w:tr>
      <w:tr>
        <w:tc>
          <w:tcPr>
            <w:tcW w:type="dxa" w:w="3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18"/>
                <w:szCs w:val="18"/>
              </w:rPr>
              <w:t xml:space="preserve">llm_pathology</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2,290</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right"/>
            </w:pPr>
            <w:r>
              <w:rPr>
                <w:rFonts w:ascii="Arial" w:cs="Arial" w:eastAsia="Arial" w:hAnsi="Arial"/>
                <w:sz w:val="18"/>
                <w:szCs w:val="18"/>
              </w:rPr>
              <w:t xml:space="preserve">21.1%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llm_parathyroid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llm_tirads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1,874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llm_functional_outcomes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1,842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16.9%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llm_airway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1,477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13.6%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llm_recurrence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13.0%</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llm_vascular_invasion</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1,085</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llm_frozen_section</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884</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8.1%</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llm_tg_kinetics</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699</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6.4%</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llm_rai</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665</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6.1%</w:t>
            </w:r>
          </w:p>
        </w:tc>
      </w:tr>
      <w:tr>
        <w:tc>
          <w:tcPr>
            <w:tcW w:type="dxa" w:w="35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llm_dynamic_risk</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596</w:t>
            </w:r>
          </w:p>
        </w:tc>
        <w:tc>
          <w:tcPr>
            <w:tcW w:type="dxa" w:w="19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11,037</w:t>
            </w:r>
          </w:p>
        </w:tc>
        <w:tc>
          <w:tcPr>
            <w:tcW w:type="dxa" w:w="19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5.5%</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REVISED ASSESSMENT: </w:t>
      </w:r>
      <w:r>
        <w:rPr>
          <w:rFonts w:ascii="Arial" w:cs="Arial" w:eastAsia="Arial" w:hAnsi="Arial"/>
          <w:sz w:val="22"/>
          <w:szCs w:val="22"/>
        </w:rPr>
        <w:t xml:space="preserve">Total NLP coverage spans 5,641 unique patients (51.9%). The canonical nlp_* columns showed much lower percentages because the rollup (script 212) applies additional filters (concordance tiers, entity count thresholds) before promoting to the master table. The underlying LLM tables contain substantially more data than what surfaces in the rollup.</w:t>
      </w:r>
    </w:p>
    <w:p>
      <w:pPr>
        <w:spacing w:after="80"/>
      </w:pPr>
      <w:r>
        <w:rPr>
          <w:rFonts w:ascii="Arial" w:cs="Arial" w:eastAsia="Arial" w:hAnsi="Arial"/>
          <w:b/>
          <w:bCs/>
          <w:sz w:val="22"/>
          <w:szCs w:val="22"/>
        </w:rPr>
        <w:t xml:space="preserve">Key insight: </w:t>
      </w:r>
      <w:r>
        <w:rPr>
          <w:rFonts w:ascii="Arial" w:cs="Arial" w:eastAsia="Arial" w:hAnsi="Arial"/>
          <w:sz w:val="22"/>
          <w:szCs w:val="22"/>
        </w:rPr>
        <w:t xml:space="preserve">llm_synoptic covers 4,924 patients (45.3%) vs the canonical nlp_synoptic_has_data showing only 8 patients (0.07%). The rollup script applies very strict promotion criteria for synoptic data. Similarly, llm_recurrence covers 1,411 patients vs canonical nlp_rec_has_data showing 133 (1.22%). The rollup is conservative by design.</w:t>
      </w:r>
    </w:p>
    <w:p>
      <w:pPr>
        <w:pStyle w:val="Heading2"/>
        <w:spacing w:after="120" w:before="280"/>
      </w:pPr>
      <w:r>
        <w:rPr>
          <w:rFonts w:ascii="Arial" w:cs="Arial" w:eastAsia="Arial" w:hAnsi="Arial"/>
        </w:rPr>
        <w:t xml:space="preserve">2. NLP vs Structured Cross-Validation (REVISED)</w:t>
      </w:r>
    </w:p>
    <w:p>
      <w:pPr>
        <w:spacing w:after="80"/>
      </w:pPr>
      <w:r>
        <w:rPr>
          <w:rFonts w:ascii="Arial" w:cs="Arial" w:eastAsia="Arial" w:hAnsi="Arial"/>
          <w:b/>
          <w:bCs/>
          <w:sz w:val="22"/>
          <w:szCs w:val="22"/>
        </w:rPr>
        <w:t xml:space="preserve">Multifocal (RESOLVED): </w:t>
      </w:r>
      <w:r>
        <w:rPr>
          <w:rFonts w:ascii="Arial" w:cs="Arial" w:eastAsia="Arial" w:hAnsi="Arial"/>
          <w:sz w:val="22"/>
          <w:szCs w:val="22"/>
        </w:rPr>
        <w:t xml:space="preserve">The apparent disconnect (1,059 NLP mentions with 0 concordant multifocal_flag) is explained: the primary multifocal_flag column is NULL for NLP-extracted patients, but the data exists in multifocal_flag_path. Of 1,059 NLP-mentioned patients: 559 have multifocal_flag_path=true (52.8% concordance), 487 have multifocal_flag_path=false (NLP detected mention of multifocality even when path says no — could be NLP false positive or discussion of ruling it out), and 13 have NULL. The cross-validation works when using the correct structured column.</w:t>
      </w:r>
    </w:p>
    <w:p>
      <w:pPr>
        <w:spacing w:after="80"/>
      </w:pPr>
      <w:r>
        <w:rPr>
          <w:rFonts w:ascii="Arial" w:cs="Arial" w:eastAsia="Arial" w:hAnsi="Arial"/>
          <w:b/>
          <w:bCs/>
          <w:sz w:val="22"/>
          <w:szCs w:val="22"/>
        </w:rPr>
        <w:t xml:space="preserve">Recurrence: </w:t>
      </w:r>
      <w:r>
        <w:rPr>
          <w:rFonts w:ascii="Arial" w:cs="Arial" w:eastAsia="Arial" w:hAnsi="Arial"/>
          <w:sz w:val="22"/>
          <w:szCs w:val="22"/>
        </w:rPr>
        <w:t xml:space="preserve">LLM recurrence extraction covers 1,411 patients with actual entity data, vs the canonical rollup showing only 133. The 23.7% sensitivity reported earlier reflects the rollup filter, not the actual extraction capability. The result_json blobs contain rich structured entities (disease_free, structural_recurrence, distant_recurrence, biochemical_recurrence with dates and confidence scores).</w:t>
      </w:r>
    </w:p>
    <w:p>
      <w:pPr>
        <w:pStyle w:val="Heading2"/>
        <w:spacing w:after="120" w:before="280"/>
      </w:pPr>
      <w:r>
        <w:rPr>
          <w:rFonts w:ascii="Arial" w:cs="Arial" w:eastAsia="Arial" w:hAnsi="Arial"/>
        </w:rPr>
        <w:t xml:space="preserve">3. NLP Entity Density</w:t>
      </w:r>
    </w:p>
    <w:p>
      <w:pPr>
        <w:spacing w:after="120"/>
      </w:pPr>
      <w:r>
        <w:rPr>
          <w:rFonts w:ascii="Arial" w:cs="Arial" w:eastAsia="Arial" w:hAnsi="Arial"/>
          <w:sz w:val="22"/>
          <w:szCs w:val="22"/>
        </w:rPr>
        <w:t xml:space="preserve">Entity density findings are unchanged: no cases of has_data=true with zero entities. nlp_path extracts mean 12.6 entities per patient (max 121), nlp_ln mean 7.9 (max 48), nlp_tg mean 2.8 (max 10). Entity extraction is rich when notes are available.</w:t>
      </w:r>
    </w:p>
    <w:p>
      <w:pPr>
        <w:pStyle w:val="Heading2"/>
        <w:spacing w:after="120" w:before="280"/>
      </w:pPr>
      <w:r>
        <w:rPr>
          <w:rFonts w:ascii="Arial" w:cs="Arial" w:eastAsia="Arial" w:hAnsi="Arial"/>
        </w:rPr>
        <w:t xml:space="preserve">4. Operative Note NLP</w:t>
      </w:r>
    </w:p>
    <w:p>
      <w:pPr>
        <w:spacing w:after="120"/>
      </w:pPr>
      <w:r>
        <w:rPr>
          <w:rFonts w:ascii="Arial" w:cs="Arial" w:eastAsia="Arial" w:hAnsi="Arial"/>
          <w:sz w:val="22"/>
          <w:szCs w:val="22"/>
        </w:rPr>
        <w:t xml:space="preserve">Op note NLP covers 4,028 patients (37.0%). Among those: nerve monitoring used in 86.7% (3,493), parathyroid managed in 22.9% (921), reoperative field in 2.7% (107). EBL: mean 52.6 mL, median 25 mL, max 1,800 mL — all plausible. Regex-based ne_operative covers 4,032 patients with 12,151 entity rows.</w:t>
      </w:r>
    </w:p>
    <w:p>
      <w:pPr>
        <w:spacing w:after="80"/>
      </w:pPr>
      <w:r>
        <w:rPr>
          <w:rFonts w:ascii="Arial" w:cs="Arial" w:eastAsia="Arial" w:hAnsi="Arial"/>
          <w:b/>
          <w:bCs/>
          <w:sz w:val="22"/>
          <w:szCs w:val="22"/>
        </w:rPr>
        <w:t xml:space="preserve">Reoperative cross-check: </w:t>
      </w:r>
      <w:r>
        <w:rPr>
          <w:rFonts w:ascii="Arial" w:cs="Arial" w:eastAsia="Arial" w:hAnsi="Arial"/>
          <w:sz w:val="22"/>
          <w:szCs w:val="22"/>
        </w:rPr>
        <w:t xml:space="preserve">37 concordant between NLP and structured. 70 NLP-identified reoperative cases have NULL structured field (notes processed but no structured data existed). 9 structured=true with NLP=false (possible NLP miss or note not mentioning prior surgery).</w:t>
      </w:r>
    </w:p>
    <w:p>
      <w:pPr>
        <w:pStyle w:val="Heading2"/>
        <w:spacing w:after="120" w:before="280"/>
      </w:pPr>
      <w:r>
        <w:rPr>
          <w:rFonts w:ascii="Arial" w:cs="Arial" w:eastAsia="Arial" w:hAnsi="Arial"/>
        </w:rPr>
        <w:t xml:space="preserve">5. Medication NLP (REVISED)</w:t>
      </w:r>
    </w:p>
    <w:p>
      <w:pPr>
        <w:spacing w:after="120"/>
      </w:pPr>
      <w:r>
        <w:rPr>
          <w:rFonts w:ascii="Arial" w:cs="Arial" w:eastAsia="Arial" w:hAnsi="Arial"/>
          <w:sz w:val="22"/>
          <w:szCs w:val="22"/>
        </w:rPr>
        <w:t xml:space="preserve">Regex ne_medications covers 2,070 patients with 7,501 entity rows. Levothyroxine (1,491 patients), calcium supplement (304), calcitriol (154).</w:t>
      </w:r>
    </w:p>
    <w:p>
      <w:pPr>
        <w:spacing w:after="80"/>
      </w:pPr>
      <w:r>
        <w:rPr>
          <w:rFonts w:ascii="Arial" w:cs="Arial" w:eastAsia="Arial" w:hAnsi="Arial"/>
          <w:b/>
          <w:bCs/>
          <w:sz w:val="22"/>
          <w:szCs w:val="22"/>
        </w:rPr>
        <w:t xml:space="preserve">Levothyroxine gap contextualized: </w:t>
      </w:r>
      <w:r>
        <w:rPr>
          <w:rFonts w:ascii="Arial" w:cs="Arial" w:eastAsia="Arial" w:hAnsi="Arial"/>
          <w:sz w:val="22"/>
          <w:szCs w:val="22"/>
        </w:rPr>
        <w:t xml:space="preserve">1,491/4,561 total thyroidectomy patients (32.7%) have levothyroxine NLP documentation. However, medication NLP extraction only covers 2,070 patients total (19.0%). Among patients WITH medication NLP data who had total thyroidectomy, the levothyroxine detection rate is likely much higher. The ‘1,048 missing’ figure reflects patients who never had medication notes processed, not patients whose notes were processed and levothyroxine was missed.</w:t>
      </w:r>
    </w:p>
    <w:p>
      <w:pPr>
        <w:pStyle w:val="Heading2"/>
        <w:spacing w:after="120" w:before="280"/>
      </w:pPr>
      <w:r>
        <w:rPr>
          <w:rFonts w:ascii="Arial" w:cs="Arial" w:eastAsia="Arial" w:hAnsi="Arial"/>
        </w:rPr>
        <w:t xml:space="preserve">Prompt 9 — Top 5 NLP Data Quality Concerns (REVISED)</w:t>
      </w:r>
    </w:p>
    <w:p>
      <w:pPr>
        <w:pStyle w:val="ListParagraph"/>
        <w:numPr>
          <w:ilvl w:val="0"/>
          <w:numId w:val="2"/>
        </w:numPr>
        <w:spacing w:after="120"/>
      </w:pPr>
      <w:r>
        <w:rPr>
          <w:rFonts w:ascii="Arial" w:cs="Arial" w:eastAsia="Arial" w:hAnsi="Arial"/>
          <w:sz w:val="22"/>
          <w:szCs w:val="22"/>
        </w:rPr>
        <w:t xml:space="preserve">Complication phenotyping coverage: Only 2,892/10,871 (26.6%) patients have been processed through the complication pipeline. The remaining 7,979 patients lack extracted surgical notes. Expanding NLP extraction to remaining operative notes would substantially improve complication ascertainment.</w:t>
      </w:r>
    </w:p>
    <w:p>
      <w:pPr>
        <w:pStyle w:val="ListParagraph"/>
        <w:numPr>
          <w:ilvl w:val="0"/>
          <w:numId w:val="2"/>
        </w:numPr>
        <w:spacing w:after="120"/>
      </w:pPr>
      <w:r>
        <w:rPr>
          <w:rFonts w:ascii="Arial" w:cs="Arial" w:eastAsia="Arial" w:hAnsi="Arial"/>
          <w:sz w:val="22"/>
          <w:szCs w:val="22"/>
        </w:rPr>
        <w:t xml:space="preserve">Hypocalcemia and hypoparathyroidism under-ascertainment (acknowledged gap): Without post-op calcium/PTH labs, biochemical confirmation is impossible. The 65 suspected hypocalcemia and 55 suspected hypoparathyroidism cases represent NLP-detected mentions. Integrating structured lab data would likely elevate many of these to confirmed.</w:t>
      </w:r>
    </w:p>
    <w:p>
      <w:pPr>
        <w:pStyle w:val="ListParagraph"/>
        <w:numPr>
          <w:ilvl w:val="0"/>
          <w:numId w:val="2"/>
        </w:numPr>
        <w:spacing w:after="120"/>
      </w:pPr>
      <w:r>
        <w:rPr>
          <w:rFonts w:ascii="Arial" w:cs="Arial" w:eastAsia="Arial" w:hAnsi="Arial"/>
          <w:sz w:val="22"/>
          <w:szCs w:val="22"/>
        </w:rPr>
        <w:t xml:space="preserve">Canonical comp_*_days_postop uses unfiltered phenotype data: The canonical_patient_master timing columns include historical and non-surgery-related entries, producing impossible values (-11,317 to +8,207 days). The complication_phenotype_v1 table’s surgery_related_flag=true filter produces clean timing (0–301 days). The rollup script should be updated.</w:t>
      </w:r>
    </w:p>
    <w:p>
      <w:pPr>
        <w:pStyle w:val="ListParagraph"/>
        <w:numPr>
          <w:ilvl w:val="0"/>
          <w:numId w:val="2"/>
        </w:numPr>
        <w:spacing w:after="120"/>
      </w:pPr>
      <w:r>
        <w:rPr>
          <w:rFonts w:ascii="Arial" w:cs="Arial" w:eastAsia="Arial" w:hAnsi="Arial"/>
          <w:sz w:val="22"/>
          <w:szCs w:val="22"/>
        </w:rPr>
        <w:t xml:space="preserve">VC paralysis/paresis: zero confirmed despite 159 phenotype rows: All 88 vocal_cord_paralysis and 71 vocal_cord_paresis rows are classified absent_or_unconfirmed. The refinement pipeline may need recalibration, or these entities may need cross-referencing with the 59 confirmed rln_injury cases.</w:t>
      </w:r>
    </w:p>
    <w:p>
      <w:pPr>
        <w:pStyle w:val="ListParagraph"/>
        <w:numPr>
          <w:ilvl w:val="0"/>
          <w:numId w:val="2"/>
        </w:numPr>
        <w:spacing w:after="120"/>
      </w:pPr>
      <w:r>
        <w:rPr>
          <w:rFonts w:ascii="Arial" w:cs="Arial" w:eastAsia="Arial" w:hAnsi="Arial"/>
          <w:sz w:val="22"/>
          <w:szCs w:val="22"/>
        </w:rPr>
        <w:t xml:space="preserve">NSQIP cross-validation: 20 discordant cases (NSQIP=positive RLN, phenotype=absent) warrant chart review. 59 NSQIP-positive cases with NULL phenotype status reflect extraction coverage gaps rather than coding errors.</w:t>
      </w:r>
    </w:p>
    <w:p>
      <w:r>
        <w:br w:type="page"/>
      </w:r>
    </w:p>
    <w:p>
      <w:pPr>
        <w:pStyle w:val="ListParagraph"/>
        <w:numPr>
          <w:ilvl w:val="0"/>
          <w:numId w:val="3"/>
        </w:numPr>
        <w:spacing w:after="120"/>
      </w:pPr>
      <w:r>
        <w:rPr>
          <w:rFonts w:ascii="Arial" w:cs="Arial" w:eastAsia="Arial" w:hAnsi="Arial"/>
          <w:sz w:val="22"/>
          <w:szCs w:val="22"/>
        </w:rPr>
        <w:t xml:space="preserve">Massive rollup-to-source coverage gap: The canonical nlp_* columns dramatically understate actual NLP coverage. llm_synoptic: 4,924 patients in source vs 8 in rollup (0.16% pass-through). llm_recurrence: 1,411 vs 133 (9.4%). The rollup script (212_nlp_entity_rollup.py) applies strict promotion criteria. Consider loosening thresholds or providing intermediate views for analysts.</w:t>
      </w:r>
    </w:p>
    <w:p>
      <w:pPr>
        <w:pStyle w:val="ListParagraph"/>
        <w:numPr>
          <w:ilvl w:val="0"/>
          <w:numId w:val="3"/>
        </w:numPr>
        <w:spacing w:after="120"/>
      </w:pPr>
      <w:r>
        <w:rPr>
          <w:rFonts w:ascii="Arial" w:cs="Arial" w:eastAsia="Arial" w:hAnsi="Arial"/>
          <w:sz w:val="22"/>
          <w:szCs w:val="22"/>
        </w:rPr>
        <w:t xml:space="preserve">NLP extraction coverage at 51.9% (5,641/10,871): Nearly half the cohort lacks any LLM note extraction. The LLM pipeline processed 11,037 notes across 5,641 patients. Extending extraction to remaining patients’ notes would improve all downstream NLP-dependent analyses.</w:t>
      </w:r>
    </w:p>
    <w:p>
      <w:pPr>
        <w:pStyle w:val="ListParagraph"/>
        <w:numPr>
          <w:ilvl w:val="0"/>
          <w:numId w:val="3"/>
        </w:numPr>
        <w:spacing w:after="120"/>
      </w:pPr>
      <w:r>
        <w:rPr>
          <w:rFonts w:ascii="Arial" w:cs="Arial" w:eastAsia="Arial" w:hAnsi="Arial"/>
          <w:sz w:val="22"/>
          <w:szCs w:val="22"/>
        </w:rPr>
        <w:t xml:space="preserve">Multifocal field mapping: NLP correctly identifies multifocality, but the canonical multifocal_flag column is disconnected. multifocal_flag_path is the correct join column. The canonical assembly script should map nlp_path_multifocal_mentioned against multifocal_flag_path (52.8% concordance) rather than multifocal_flag (0% concordance).</w:t>
      </w:r>
    </w:p>
    <w:p>
      <w:pPr>
        <w:pStyle w:val="ListParagraph"/>
        <w:numPr>
          <w:ilvl w:val="0"/>
          <w:numId w:val="3"/>
        </w:numPr>
        <w:spacing w:after="120"/>
      </w:pPr>
      <w:r>
        <w:rPr>
          <w:rFonts w:ascii="Arial" w:cs="Arial" w:eastAsia="Arial" w:hAnsi="Arial"/>
          <w:sz w:val="22"/>
          <w:szCs w:val="22"/>
        </w:rPr>
        <w:t xml:space="preserve">Frozen section NLP heterogeneity: 126 unique key_finding strings for 184 rollup patients, while the LLM table has 884 patients with frozen section entities. The rollup captures only 20.8% of available data. The free-text key_finding values need normalization to a controlled vocabulary for aggregation.</w:t>
      </w:r>
    </w:p>
    <w:p>
      <w:pPr>
        <w:pStyle w:val="ListParagraph"/>
        <w:numPr>
          <w:ilvl w:val="0"/>
          <w:numId w:val="3"/>
        </w:numPr>
        <w:spacing w:after="120"/>
      </w:pPr>
      <w:r>
        <w:rPr>
          <w:rFonts w:ascii="Arial" w:cs="Arial" w:eastAsia="Arial" w:hAnsi="Arial"/>
          <w:sz w:val="22"/>
          <w:szCs w:val="22"/>
        </w:rPr>
        <w:t xml:space="preserve">Medication NLP coverage (19.0%): Only 2,070 patients have medication entity extraction. This limits medication-based cross-validations (e.g., levothyroxine post-thyroidectomy). Expanding regex extraction to all clinical notes would improve medication ascertainment.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Canonical Dataset Verification — Prompts 8 &amp; 9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2026-04-16T18:51:31.564Z</dcterms:created>
  <dcterms:modified xsi:type="dcterms:W3CDTF">2026-04-16T18:51:31.564Z</dcterms:modified>
</cp:coreProperties>
</file>

<file path=docProps/custom.xml><?xml version="1.0" encoding="utf-8"?>
<Properties xmlns="http://schemas.openxmlformats.org/officeDocument/2006/custom-properties" xmlns:vt="http://schemas.openxmlformats.org/officeDocument/2006/docPropsVTypes"/>
</file>