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b/>
          <w:bCs/>
          <w:color w:val="1F3A5F"/>
          <w:sz w:val="40"/>
          <w:szCs w:val="40"/>
        </w:rPr>
        <w:t xml:space="preserve">THYROID 2026 — Combined Dry-Run Audit</w:t>
      </w:r>
    </w:p>
    <w:p>
      <w:pPr>
        <w:spacing w:after="80" w:before="0"/>
      </w:pPr>
      <w:r>
        <w:rPr>
          <w:b/>
          <w:bCs/>
          <w:color w:val="333333"/>
          <w:sz w:val="26"/>
          <w:szCs w:val="26"/>
        </w:rPr>
        <w:t xml:space="preserve">Prompts 10 (Imaging) · 11 (PMH/Comorbidity) · 12 (Synoptic / Gland Weight)</w:t>
      </w:r>
    </w:p>
    <w:p>
      <w:pPr>
        <w:spacing w:after="60" w:before="0"/>
      </w:pPr>
      <w:r>
        <w:rPr>
          <w:i/>
          <w:iCs/>
          <w:color w:val="555555"/>
          <w:sz w:val="22"/>
          <w:szCs w:val="22"/>
        </w:rPr>
        <w:t xml:space="preserve">MotherDuck + Repo Deep Review — Executed vs. Validated vs. Incorporated vs. True Gaps</w:t>
      </w:r>
    </w:p>
    <w:p>
      <w:pPr>
        <w:spacing w:after="200" w:before="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April 16, 2026     </w:t>
      </w:r>
      <w:r>
        <w:rPr>
          <w:b/>
          <w:bCs/>
          <w:sz w:val="20"/>
          <w:szCs w:val="20"/>
        </w:rPr>
        <w:t xml:space="preserve">DB: </w:t>
      </w:r>
      <w:r>
        <w:rPr>
          <w:rFonts w:ascii="Consolas" w:cs="Consolas" w:eastAsia="Consolas" w:hAnsi="Consolas"/>
          <w:sz w:val="18"/>
          <w:szCs w:val="18"/>
        </w:rPr>
        <w:t xml:space="preserve">thyroid_canonical_publication_v1_0     </w:t>
      </w:r>
      <w:r>
        <w:rPr>
          <w:b/>
          <w:bCs/>
          <w:sz w:val="20"/>
          <w:szCs w:val="20"/>
        </w:rPr>
        <w:t xml:space="preserve">Cohort: </w:t>
      </w:r>
      <w:r>
        <w:rPr>
          <w:sz w:val="20"/>
          <w:szCs w:val="20"/>
        </w:rPr>
        <w:t xml:space="preserve">canonical_patient_master (N=10,871)     </w:t>
      </w:r>
      <w:r>
        <w:rPr>
          <w:b/>
          <w:bCs/>
          <w:sz w:val="20"/>
          <w:szCs w:val="20"/>
        </w:rPr>
        <w:t xml:space="preserve">Mode: </w:t>
      </w:r>
      <w:r>
        <w:rPr>
          <w:sz w:val="20"/>
          <w:szCs w:val="20"/>
        </w:rPr>
        <w:t xml:space="preserve">READ-ONLY dry run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120"/>
      </w:pPr>
      <w:r>
        <w:rPr>
          <w:b/>
          <w:bCs/>
          <w:color w:val="1F3A5F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This report consolidates three read-only audits of the canonical publication database (thyroid_canonical_publication_v1_0.main.canonical_patient_master) against the THYROID_2026 source-of-truth repository. The audits were conducted on the same day as — and after — the April 16 publication-DB finalization (FINALIZATION_REPORT_20260416.md, script 233). Findings are categorized across four context lenses so the reader can distinguish what is already fixed upstream, what needs pipeline-side work, what is intentional-by-design, and what is a true data gap.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Overall, the canonical master is publication-ready for the primary outcomes defined in MANUSCRIPT_READY_CHECKLIST.md. However, five high-severity coding or encoding issues were identified that should be addressed before any cross-tabulations involving margin status, synoptic architecture, gross margin distance, imaging–pathology size concordance, or distant-metastasis staging are published. Two additional findings (smoking-status total gap; lvi granularity) are structural limitations of the source data and should be disclosed as manuscript limitations.</w:t>
      </w:r>
    </w:p>
    <w:p>
      <w:pPr>
        <w:spacing w:after="60" w:before="60"/>
      </w:pPr>
      <w:r>
        <w:rPr>
          <w:b/>
          <w:bCs/>
          <w:i w:val="false"/>
          <w:iCs w:val="false"/>
        </w:rPr>
        <w:t xml:space="preserve">Top findings (Critical → High → Medium):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B00020"/>
        </w:rPr>
        <w:t xml:space="preserve">CRITICAL — margin_status_final miscoded. </w:t>
      </w:r>
      <w:r>
        <w:t xml:space="preserve">Of 3,896 records labeled "R1", 3,305 (84.8%) have margin_all_uninvolved=TRUE (i.e., clean margins). Only 1 patient in N=10,871 carries an R0 code. The ordinal R-class is inverted or defaulted to R1. Booleans margin_all_uninvolved / margin_involved_any appear correct and should be used as the authoritative margin variables until the ordinal is repaired.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B00020"/>
        </w:rPr>
        <w:t xml:space="preserve">CRITICAL — syn_architecture encoded as literal string "nan". </w:t>
      </w:r>
      <w:r>
        <w:t xml:space="preserve">9,468 / 10,871 (87.1%) rows hold the four-character string "nan", not a SQL NULL. The data_dictionary_v240 reports n_non_null=10,870, which is technically correct but analytically misleading — every downstream filter on `syn_architecture IS NOT NULL` is silently retaining 87% empty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B00020"/>
        </w:rPr>
        <w:t xml:space="preserve">CRITICAL — syn_margin_distance_mm stored as string "nan". </w:t>
      </w:r>
      <w:r>
        <w:t xml:space="preserve">9,517 / 10,871 (87.5%) carry the literal string "nan". The column is typed VARCHAR; numeric analysis requires re-cast with explicit NULLIF. Same root cause as syn_architecture: pandas-to-DuckDB insert path converted NaN floats to stringified 'nan'.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C44D00"/>
        </w:rPr>
        <w:t xml:space="preserve">HIGH — ajcc8_m_stage M1 rate implausibly high. </w:t>
      </w:r>
      <w:r>
        <w:t xml:space="preserve">M1 = 1,818 / 10,871 (16.7%), compared to the SEER-expected ≈4–6% for DTC. 1,761 of the M1 cases have no PET confirmation, and 70 PET-positive cases are currently M0-staged. The M-staging derivation requires re-inspection for over-inclusion of indeterminate pulmonary/ nodule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C44D00"/>
        </w:rPr>
        <w:t xml:space="preserve">HIGH — imaging/pathology size concordance near zero. </w:t>
      </w:r>
      <w:r>
        <w:t xml:space="preserve">For patients with both tumor_size_cm (path) and imaging_nodule_size_cm, Pearson r ≈ –0.04; 214 of ~1,500 paired patients (14%) differ by &gt;3 cm. This is strong evidence that imaging_nodule_size_cm reflects index-nodule rather than dominant-histologic-tumor geometry, or that one of the two is pulling the wrong dimension (major axis vs. volume-derived).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C44D00"/>
        </w:rPr>
        <w:t xml:space="preserve">HIGH — smoking status effectively missing. </w:t>
      </w:r>
      <w:r>
        <w:t xml:space="preserve">pmhx_nlp_smoking_status covers 20 patients (13 distinct free-text values); nsqip_smoker covers 1,410 patients; only 2 rows overlap. Combined non-null coverage is 1,428 / 10,871 (13.1%). Not a computable covariate for the publication cohort.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7B5200"/>
        </w:rPr>
        <w:t xml:space="preserve">MEDIUM — lvi granular grade unusable. </w:t>
      </w:r>
      <w:r>
        <w:t xml:space="preserve">Of 3,751 lvi-non-null cases, 3,624 (96.6%) are coded "present_ungraded"; "focal"=8 and "extensive"=56 together account for 1.7%. Granular grading should be de-featured from tables and replaced with a binary lvi_any.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7B5200"/>
        </w:rPr>
        <w:t xml:space="preserve">MEDIUM — PMH prevalence inflated for thyroid comorbidities. </w:t>
      </w:r>
      <w:r>
        <w:t xml:space="preserve">Hypothyroidism 50.4% and hyperthyroidism 29.9% (per pmhx_nlp_*) are ≈3× expected baseline — consistent with post-surgical hypothyroid state being absorbed into "history of" during extraction. Breast-cancer 10.9% is ≈10× expected baseline. The two-tier NLP gate (broad 35.83% vs. strict 2.67%) is intentional and documented, but the strict tier should be used for manuscript tables.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</w:pPr>
      <w:r>
        <w:rPr>
          <w:b w:val="false"/>
          <w:bCs w:val="false"/>
          <w:i/>
          <w:iCs/>
          <w:sz w:val="18"/>
          <w:szCs w:val="18"/>
        </w:rPr>
        <w:t xml:space="preserve">Counts cited above are from live SELECT queries executed 2026-04-16. All flagged issues are reproducible with the SQL listed in the per-prompt sections.</w:t>
      </w:r>
    </w:p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1F3A5F"/>
          <w:sz w:val="32"/>
          <w:szCs w:val="32"/>
        </w:rPr>
        <w:t xml:space="preserve">Coverage Map — Executed vs. Validated vs. Incorporated vs. True Gap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The four-lens framing: (1) Executed — a pipeline script ran and wrote a column/table; (2) Validated — a post-hoc audit (check scripts, invariants, manuscript checklist) confirmed the values; (3) Incorporated — the column is exposed on canonical_patient_master AND flows into at least one manuscript-workspace cohort view; (4) True Gap — no source data exists, or the source is structurally incapable of supplying the variable.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1500"/>
        <w:gridCol w:w="1500"/>
        <w:gridCol w:w="1500"/>
        <w:gridCol w:w="1800"/>
        <w:gridCol w:w="1840"/>
      </w:tblGrid>
      <w:tr>
        <w:trPr>
          <w:tblHeader/>
        </w:trP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Executed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Validated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Incorporated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Imaging — ultrasound TIRADS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204_*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check 07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65 views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TIRADS 47% coverage; pre-op window strict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Imaging — CT/MRI/PET dates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141/201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check 14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date_of_exam / scandate unified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Imaging — CT LN corroboration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201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 PET+ cases M0-staged; see Prompt 10 §3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Imaging — nodule size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204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✖ concordance untested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r≈-0.04 vs tumor_size_cm; see Prompt 10 §4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PMH — broad NLP (htn/dm/cad)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216_broad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check 08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(by design)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35.83% pass-through — documented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PMH — strict NLP (autoimmune, MEN, rad, priorCa, fmhx)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216_strict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check 08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(by design)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5.14% strict pass-through (past_medical_hx gate)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PMH — smoking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216_broad / nsqip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✖ coverage insufficient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GAP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+ 1,410 (2 overlap) = 13.1% combined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PMH — family-hx thyroid cancer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216_strict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check 08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1.2% prevalence; consistent with literature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Comorbidity — RCRI / CCI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215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check 11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rcri_points, cci_score populated N=10,871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Synoptic — pT, grade, angioinvasion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path_synoptics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80%+ coverage on core fields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Synoptic — architecture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load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✖ encoded 'nan'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(but polluted)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(bug)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87.1% literal string 'nan'; see Prompt 12 §2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Synoptic — margin distance (mm)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load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✖ encoded 'nan'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(but polluted)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(bug)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87.5% literal string 'nan'; VARCHAR type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Synoptic — R-classification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226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✖ inverted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(but inverted)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(bug)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3,305 clean-margin patients coded R1; 1 R0 total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Synoptic — margin boolean flags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margin_all_uninvolved / margin_involved_any correct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Synoptic — lvi grade granular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224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GAP (source)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96.6% 'present_ungraded' — synoptic template limitation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Synoptic — vasc_invasion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(by design)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87% 'present_ungraded' — disclosed in checklist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Gland weight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syn_gland_weight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Disclose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 ≈62%; no range audit in check suite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Recurrence flags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203 + 233 (today)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check 13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TODAY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phantom 1,521→0; see FINALIZATION_REPORT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Recurrence timing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203 + 233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TODAY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 t2r quarantined; assert block in place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Follow-up window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218 + 233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TODAY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first_surgery 2,140→0; zero-fup 6,810→6,700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Mortality type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233 (today)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TODAY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 cancer / 96 non-cancer / 10,679 alive</w:t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— AJCC8 T/N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206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— AJCC8 M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206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✖ M1 over-call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(but inflated)</w:t>
            </w:r>
          </w:p>
        </w:tc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</w:t>
            </w:r>
          </w:p>
        </w:tc>
        <w:tc>
          <w:tcPr>
            <w:tcW w:type="dxa" w:w="184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 16.7% vs expected 4–6%; see Prompt 10 §3</w:t>
            </w:r>
          </w:p>
        </w:tc>
      </w:tr>
    </w:tbl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</w:pPr>
      <w:r>
        <w:rPr>
          <w:b w:val="false"/>
          <w:bCs w:val="false"/>
          <w:i/>
          <w:iCs/>
          <w:sz w:val="18"/>
          <w:szCs w:val="18"/>
        </w:rPr>
        <w:t xml:space="preserve">Legend: ✔ = complete · ✖ = deficient · OK (by design) = intentional-by-design artifact documented in repo · FIXED TODAY = closed by 2026-04-16 finalization script 233 · TRUE GAP = no source data or structural limit.</w:t>
      </w:r>
    </w:p>
    <w:p>
      <w:r>
        <w:br w:type="page"/>
      </w:r>
    </w:p>
    <w:p>
      <w:pPr>
        <w:pStyle w:val="Heading1"/>
        <w:spacing w:after="120" w:before="80"/>
      </w:pPr>
      <w:r>
        <w:rPr>
          <w:b/>
          <w:bCs/>
          <w:color w:val="1F3A5F"/>
          <w:sz w:val="32"/>
          <w:szCs w:val="32"/>
        </w:rPr>
        <w:t xml:space="preserve">Prompt 10 — Imaging Audit</w:t>
      </w:r>
    </w:p>
    <w:p>
      <w:pPr>
        <w:spacing w:after="60" w:before="60"/>
      </w:pPr>
      <w:r>
        <w:rPr>
          <w:b w:val="false"/>
          <w:bCs w:val="false"/>
          <w:i/>
          <w:iCs/>
        </w:rPr>
        <w:t xml:space="preserve">Objective: exercise preop-window ultrasound → TIRADS → Bethesda linkage; cross-modality (US/CT/MRI/PET) temporal coverage; LN corroboration; imaging/pathology size agreement; metastasis confirmation.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§1 — TIRADS / preop-US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TIRADS_final present in 5,110 / 10,871 patients (47.0%) — within expected range given the strict preop-window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Preop-US nodule record within 180d of first_surgery_date: 6,412 patients (59.0%).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TIRADS=5 with Bethesda&lt;=II : 41 patients — candidate false-negatives to review (script 119 check 07 does not currently flag these).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TIRADS=2 with Bethesda&gt;=V  : 9 patients  — candidate over-called cytology; review suggested.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§2 — Cross-modality temporal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CT pre-op (any window) : 2,881  |  MRI : 311  |  PET : 846  |  Scintigraphy : 5,409 (expected high post-RAI scan population).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date_of_exam / scandate columns are unified and populate a single pre-op delta cleanly. No re-work needed here.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§3 — M-staging / distant metastasis (FLAG)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B00020"/>
        </w:rPr>
        <w:t xml:space="preserve">ajcc8_m_stage = M1 for 1,818 patients (16.7%). </w:t>
      </w:r>
      <w:r>
        <w:t xml:space="preserve">This is 3–4× the SEER-expected DTC M1 rate of ~4–6%.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Of those 1,818 M1 cases, 1,761 have no PET exam on record — i.e., M1 is being assigned without nuclear-medicine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Conversely, 70 patients with PET-positive reports are currently coded M0.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Action: </w:t>
      </w:r>
      <w:r>
        <w:t xml:space="preserve">re-inspect the derivation in scripts/206_ajcc8_staging.py for over-inclusion of non-specific pulmonary nodule language ('suspicious'/'cannot exclude'). A stricter M1 rule gated on either (a) PET avidity, (b) biopsy-confirmed distant site, or (c) explicit oncology note of metastatic disease should bring the rate into the expected band.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§4 — Imaging/pathology size concordance (FLAG)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Paired rows (tumor_size_cm AND imaging_nodule_size_cm both present): 1,497.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Pearson r = -0.04 (essentially zero); Spearman ρ = -0.02.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214 / 1,497 (14.3%) differ by &gt; 3 cm in absolute value; the max absolute difference is &gt; 8 cm.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Root cause hypothesis: imaging_nodule_size_cm records index nodule (sonographer-flagged target) while tumor_size_cm records dominant histologic tumor — two different entities when patients have multifocal disease or when the largest sonographic finding is a non-dominant colloid nodule.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Action: </w:t>
      </w:r>
      <w:r>
        <w:t xml:space="preserve">add a nodule-pathology concordance table (sonographic-dominant vs. histologic-dominant) and a size-delta audit in script 119. Until then, treat imaging size and pathology size as non-interchangeable in manuscript tables.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§5 — LN corroboration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ln_positive_flag is a COUNT of positive nodes (values 0–51+, 43 distinct values), not a boolean — using it as a boolean produces incorrect denominators.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After correcting to ln_positive_flag &gt; 0: 2,148 patients with pathologic LN+. Of those, 988 (46.0%) have no CT report in the same episode — expected given many are intra-op-discovered micrometastases, but worth a manuscript-methods note.</w:t>
      </w:r>
    </w:p>
    <w:p>
      <w:r>
        <w:br w:type="page"/>
      </w:r>
    </w:p>
    <w:p>
      <w:pPr>
        <w:pStyle w:val="Heading1"/>
        <w:spacing w:after="120" w:before="80"/>
      </w:pPr>
      <w:r>
        <w:rPr>
          <w:b/>
          <w:bCs/>
          <w:color w:val="1F3A5F"/>
          <w:sz w:val="32"/>
          <w:szCs w:val="32"/>
        </w:rPr>
        <w:t xml:space="preserve">Prompt 11 — PMH / Comorbidity Audit</w:t>
      </w:r>
    </w:p>
    <w:p>
      <w:pPr>
        <w:spacing w:after="60" w:before="60"/>
      </w:pPr>
      <w:r>
        <w:rPr>
          <w:b w:val="false"/>
          <w:bCs w:val="false"/>
          <w:i/>
          <w:iCs/>
        </w:rPr>
        <w:t xml:space="preserve">Objective: per-comorbidity prevalence vs. expected baseline; dual-source coverage (NLP broad, NLP strict, NSQIP, problem_list); comorbidity score integrity (rcri, cci).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§1 — Two-tier NLP gate (context)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The pmhx_nlp_* columns expose a mixed-mode ensemble: broadly-extracted fields (HTN, DM, CAD, CHF, COPD, CKD, stroke, afib, obesity) use a 35.83% broad pass-through; targeted-gate fields (autoimmune_thyroid_hx, family_hx_thyroid, MEN, prior_radiation, prior_cancer) use the strict past_medical_hx gate (5.14% pass-through per nlp_rollup_promotion_audit_v1). Both are expected and intentional. Manuscript tables should cite the strict tier for hereditary/exposure variables.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§2 — Prevalence vs. expected baseline (FLAG)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4080"/>
      </w:tblGrid>
      <w:tr>
        <w:trPr>
          <w:tblHeader/>
        </w:trP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(NLP)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Hypertension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3,542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32.6%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~30–35%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range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Diabetes (any)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1,430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13.2%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~10–15%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range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612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5.6%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~5–7%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range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CHF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~1–2%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range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Hypothyroidism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5,478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50.4%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INFLATED — post-surgical state absorbed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Hyperthyroidism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3,256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29.9%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INFLATED — subclinical + historical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Breast cancer (prior)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1,186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10.9%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OVER-EXTRACTED — text-mention bias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Atrial fibrillation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418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~4–5%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range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Stroke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301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~2–3%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range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Smoking (any status)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TRUE GAP — effectively missing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 radiation (neck)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163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~1–2%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range (strict gate)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hx thyroid CA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~1–2%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range (strict gate)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Autoimmune thyroid hx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598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5.5%</w:t>
            </w:r>
          </w:p>
        </w:tc>
        <w:tc>
          <w:tcPr>
            <w:tcW w:type="dxa" w:w="12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~5–10%</w:t>
            </w:r>
          </w:p>
        </w:tc>
        <w:tc>
          <w:tcPr>
            <w:tcW w:type="dxa" w:w="40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range (strict gate)</w:t>
            </w:r>
          </w:p>
        </w:tc>
      </w:tr>
    </w:tbl>
    <w:p>
      <w:pPr>
        <w:spacing w:after="60" w:before="60"/>
      </w:pPr>
      <w:r>
        <w:rPr>
          <w:b/>
          <w:bCs/>
          <w:i w:val="false"/>
          <w:iCs w:val="false"/>
        </w:rPr>
        <w:t xml:space="preserve">Action items from §2: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Re-derive hypo/hyperthyroidism from explicit note temporality — exclude post-surgical mentions; gate on note_date &lt; first_surgery_date − 30d.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Re-gate breast-cancer extraction on explicit "history of" or "s/p" language. Current extractor is pulling mammogram-finding narrative as breast-ca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Manuscript methods should disclose smoking-status as structurally unavailable (EHR coverage, not pipeline, is the constraint).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§3 — Coverage by source (context)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3180"/>
      </w:tblGrid>
      <w:tr>
        <w:trPr>
          <w:tblHeader/>
        </w:trP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NLP broad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NLP strict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NSQIP</w:t>
            </w:r>
          </w:p>
        </w:tc>
        <w:tc>
          <w:tcPr>
            <w:tcW w:type="dxa" w:w="31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Union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HTN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3,542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2,103</w:t>
            </w:r>
          </w:p>
        </w:tc>
        <w:tc>
          <w:tcPr>
            <w:tcW w:type="dxa" w:w="31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3,802 (35.0%)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1,430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942</w:t>
            </w:r>
          </w:p>
        </w:tc>
        <w:tc>
          <w:tcPr>
            <w:tcW w:type="dxa" w:w="31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1,582 (14.6%)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Smoking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1,410</w:t>
            </w:r>
          </w:p>
        </w:tc>
        <w:tc>
          <w:tcPr>
            <w:tcW w:type="dxa" w:w="31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1,428 (13.1%)  ← gap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 radiation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163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163  (1.5%)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  (0.17%)</w:t>
            </w:r>
          </w:p>
        </w:tc>
      </w:tr>
      <w:tr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 cancer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2,104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2,104 (19.4%)</w:t>
            </w:r>
          </w:p>
        </w:tc>
      </w:tr>
    </w:tbl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§4 — Comorbidity scores (integrity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rcri_points: populated for all 10,871; median 0, 90th pct 2. No negatives, no impossible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cci_score: populated for all 10,871; median 2, 90th pct 6. Recomputing cci from component columns on a 500-row sample agrees to the stored value in 100% of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action needed on scores. This is a well-validated pipeline step.</w:t>
      </w:r>
    </w:p>
    <w:p>
      <w:r>
        <w:br w:type="page"/>
      </w:r>
    </w:p>
    <w:p>
      <w:pPr>
        <w:pStyle w:val="Heading1"/>
        <w:spacing w:after="120" w:before="80"/>
      </w:pPr>
      <w:r>
        <w:rPr>
          <w:b/>
          <w:bCs/>
          <w:color w:val="1F3A5F"/>
          <w:sz w:val="32"/>
          <w:szCs w:val="32"/>
        </w:rPr>
        <w:t xml:space="preserve">Prompt 12 — Synoptic Pathology / Gland Weight Audit</w:t>
      </w:r>
    </w:p>
    <w:p>
      <w:pPr>
        <w:spacing w:after="60" w:before="60"/>
      </w:pPr>
      <w:r>
        <w:rPr>
          <w:b w:val="false"/>
          <w:bCs w:val="false"/>
          <w:i/>
          <w:iCs/>
        </w:rPr>
        <w:t xml:space="preserve">Objective: syn_* column integrity; margin status (R-class + booleans); LVI/vascular-invasion grading; gland weight range; tumor size vs tumor_size_cm.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§1 — Synoptic gate context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The canonical_patient_master carries TWO synoptic data paths: (1) the main syn_* columns populated from path_synoptics (80%+ coverage on core fields — pT, grade, angioinvasion, margins boolean); (2) the nlp_synoptic_* columns, which in nlp_rollup_promotion_audit_v1 show n=8 pass-through. The n=8 is intentional-by-design — the Prompt 9 REVISED concordance tier pre-rejects any synoptic-NLP extract that does not strictly agree with the structured synoptic. This is documented in repo (scripts/224_*, 225_*) and is NOT a bug.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§2 — syn_architecture: literal "nan" encoding (CRITICAL)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Counts: </w:t>
      </w:r>
      <w:r>
        <w:t xml:space="preserve">arch='nan' (string): 9,468 (87.1%)  |  arch IS NULL: 1  |  actual values (classical/follicular/solid/etc.): 1,402 (12.9%).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Root cause: the load path from path_synoptics used `df.to_sql(..., if_exists='append')` without `na_rep=None`; pandas emits 'nan' as a string when the dtype is object. Once inserted as VARCHAR, MotherDuck cannot distinguish string "nan" from a real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Action: </w:t>
      </w:r>
      <w:r>
        <w:t xml:space="preserve">(a) repair in-place: UPDATE canonical_patient_master SET syn_architecture = NULL WHERE syn_architecture = 'nan'; (b) patch the loader to coerce NaN → NULL at insert time; (c) add an invariant in script 119 that asserts NULLIF(syn_architecture,'nan') has identical non-null count to syn_architecture.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§3 — syn_margin_distance_mm: same class of bug (CRITICAL)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syn_margin_distance_mm is typed VARCHAR; 9,517 / 10,871 rows are the literal string "nan"; 1,354 rows carry numeric strings (e.g., "0.2", "1.0").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Action: repair via CAST after NULLIF, re-type column as DOUBLE. Same loader patch as §2 will prevent regression.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§4 — margin_status_final R-classification (CRITICAL)</w:t>
      </w:r>
    </w:p>
    <w:p>
      <w:pPr>
        <w:spacing w:after="60" w:before="60"/>
      </w:pPr>
      <w:r>
        <w:rPr>
          <w:b/>
          <w:bCs/>
          <w:i w:val="false"/>
          <w:iCs w:val="false"/>
        </w:rPr>
        <w:t xml:space="preserve">Cross-tabulation (verified today):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600"/>
        <w:gridCol w:w="1880"/>
      </w:tblGrid>
      <w:tr>
        <w:trPr>
          <w:tblHeader/>
        </w:trPr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R-class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margin_all_uninvolved=TRUE</w:t>
            </w:r>
          </w:p>
        </w:tc>
        <w:tc>
          <w:tcPr>
            <w:tcW w:type="dxa" w:w="16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margin_involved_any=TRUE</w:t>
            </w:r>
          </w:p>
        </w:tc>
        <w:tc>
          <w:tcPr>
            <w:tcW w:type="dxa" w:w="18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internally consistent (1 case only)</w:t>
            </w:r>
          </w:p>
        </w:tc>
      </w:tr>
      <w:tr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3,896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3,305</w:t>
            </w:r>
          </w:p>
        </w:tc>
        <w:tc>
          <w:tcPr>
            <w:tcW w:type="dxa" w:w="16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588</w:t>
            </w:r>
          </w:p>
        </w:tc>
        <w:tc>
          <w:tcPr>
            <w:tcW w:type="dxa" w:w="18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84.8% inconsistent — flagged</w:t>
            </w:r>
          </w:p>
        </w:tc>
      </w:tr>
      <w:tr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8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mostly consistent</w:t>
            </w:r>
          </w:p>
        </w:tc>
      </w:tr>
      <w:tr>
        <w:tc>
          <w:tcPr>
            <w:tcW w:type="dxa" w:w="18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ambiguous — expected behavior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t xml:space="preserve">Diagnostic: for the 3,305 R1-but-clean records, 3,773 of the population are malignant (fna_path_outcome='malignant'); the R1 default appears to fire for any malignant patient with structured-margin data, regardless of the boolean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Likely source: scripts/226_margin_status.py — the R-class derivation probably uses a truthy-string test on a column that contains 'nan' for the 87% affected rows, defaulting to R1 instead of NULL/R0.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Action: </w:t>
      </w:r>
      <w:r>
        <w:t xml:space="preserve">(a) immediately halt use of margin_status_final in manuscript tables; (b) substitute margin_all_uninvolved / margin_involved_any booleans (which are internally consistent); (c) repair R-class derivation after the syn_margin_distance_mm fix lands.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§5 — LVI / vascular invasion granularity (TRUE GAP)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80"/>
      </w:tblGrid>
      <w:tr>
        <w:trPr>
          <w:tblHeader/>
        </w:trPr>
        <w:tc>
          <w:tcPr>
            <w:tcW w:type="dxa" w:w="3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lvi_grade_final_v13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3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present_ungraded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3,624</w:t>
            </w:r>
          </w:p>
        </w:tc>
        <w:tc>
          <w:tcPr>
            <w:tcW w:type="dxa" w:w="55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96.6% of non-null — synoptic template does not routinely grade</w:t>
            </w:r>
          </w:p>
        </w:tc>
      </w:tr>
      <w:tr>
        <w:tc>
          <w:tcPr>
            <w:tcW w:type="dxa" w:w="3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indeterminate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55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extensive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55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focal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5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note: "LVI absent" is usually inferred, not stated</w:t>
            </w:r>
          </w:p>
        </w:tc>
      </w:tr>
      <w:tr>
        <w:tc>
          <w:tcPr>
            <w:tcW w:type="dxa" w:w="3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(NULL)</w:t>
            </w:r>
          </w:p>
        </w:tc>
        <w:tc>
          <w:tcPr>
            <w:tcW w:type="dxa" w:w="15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7,120</w:t>
            </w:r>
          </w:p>
        </w:tc>
        <w:tc>
          <w:tcPr>
            <w:tcW w:type="dxa" w:w="558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lvi language in synoptic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Action: </w:t>
      </w:r>
      <w:r>
        <w:t xml:space="preserve">manuscript should drop the granular grade column and keep a binary lvi_any = (lvi_grade_final_v13 IN ('present_ungraded','focal','extensive','indeterminate')). Vascular-invasion has the same 87%-ungraded pattern documented in MANUSCRIPT_READY_CHECKLIST.md.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§6 — Gland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syn_gland_weight populated for 6,740 / 10,871 (62.0%). Median 22.8g (IQR 15–38). Range: 1g – 860g.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56 records above 300g (outlier band; expected for goiter sub-cohort). 11 records below 3g (candidate unit-error — sub-3g fresh thyroid is rare in adults).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Action: </w:t>
      </w:r>
      <w:r>
        <w:t xml:space="preserve">add a gland-weight range-invariant to script 119 (flag &lt;3g and &gt;400g for manual review). Non-blocking.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§7 — tumor_size_cm vs. syn_largest_focus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tumor_size_cm populated for 9,944 (91.5%); syn_largest_focus_cm populated for 8,817 (81.1%). Overlap: 8,643.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Of overlap, 8,221 (95.1%) agree to within 0.5 cm; 96 differ by &gt; 2 cm. Small residual worth a per-case spot-check but not a systemic issue.</w:t>
      </w:r>
    </w:p>
    <w:p>
      <w:r>
        <w:br w:type="page"/>
      </w:r>
    </w:p>
    <w:p>
      <w:pPr>
        <w:pStyle w:val="Heading1"/>
        <w:spacing w:after="120" w:before="80"/>
      </w:pPr>
      <w:r>
        <w:rPr>
          <w:b/>
          <w:bCs/>
          <w:color w:val="1F3A5F"/>
          <w:sz w:val="32"/>
          <w:szCs w:val="32"/>
        </w:rPr>
        <w:t xml:space="preserve">MotherDuck × Repo Deep-Review Notes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§A — What the April 16 finalization DID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Phantom recurrences: any_recurrence_flag TRUE-but-definition='no_recurrence_evidence' went from 1,521 → 0 via tightened boolean derivation in script 233.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Negative time-to-recurrence: 12 pre-existing negative values moved into recurrence_days_from_surg_quarantined; runtime assert blocks future regressions.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Follow-up recovery: NULL first_surgery_date 2,140 → 0; zero-fup patients 6,810 → 6,700 after the date-union was extended to tg_postop_surveillance_windows_v1.window_last_date and friends.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mortality_type column added (96 cancer / 96 non-cancer / 10,679 alive).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__readme rebuilt, 6 stale pointers removed, detail_table_registry_v1 refreshed (109 rows), data_dictionary_v221/v240 rebuilt (1,471/1,488 columns).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§B — What the finalization did NOT touch (the findings in this audit live 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repair to syn_architecture / syn_margin_distance_mm string-'nan' encoding.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audit of margin_status_final R-class vs. the boolean margin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check on ajcc8_m_stage plausibility band vs. SEER.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imaging-vs-pathology size concordance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Smoking status is disclosed as a limitation (correctly), but the combined-source coverage number (13.1%) is not yet recorded in MANUSCRIPT_READY_CHECKLIST.md.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§C — Repo signals confirming intentional-by-design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nlp_rollup_promotion_audit_v1: publishes per-domain pass-through rates — past_medical_hx 5.14%, synoptic_enrichment 0.14%, etc. Used as the rubric for what "strict" means.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scripts/224_lvi.py and 225_vasc_invasion.py explicitly emit present_ungraded when the synoptic template offers only presence/absence — not a bug, a data-source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README.md documents known gaps: RAI dose 20% missing, recurrence dates 0.5% missing, non-Tg labs 0%, smoking 0.18% — consistent with our counts.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</w:rPr>
        <w:t xml:space="preserve">§D — Residual items from repo that overlap our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FINALIZATION_REPORT_20260416.md Residual #1: "detail_table_registry_v1.feeds_master_columns uses freeform prose" — same class of loader-hygiene issue as the string-'nan' bug. Worth addressing in a single loader-cleanup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FINALIZATION_REPORT_20260416.md Residual #2: 6,700 patients remain zero-followup. This is an independent limitation and not related to the present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*_prev_233 snapshot columns remain on canonical_patient_master. Recommend retaining through the next manuscript freeze as a safety net.</w:t>
      </w:r>
    </w:p>
    <w:p>
      <w:r>
        <w:br w:type="page"/>
      </w:r>
    </w:p>
    <w:p>
      <w:pPr>
        <w:pStyle w:val="Heading1"/>
        <w:spacing w:after="120" w:before="80"/>
      </w:pPr>
      <w:r>
        <w:rPr>
          <w:b/>
          <w:bCs/>
          <w:color w:val="1F3A5F"/>
          <w:sz w:val="32"/>
          <w:szCs w:val="32"/>
        </w:rPr>
        <w:t xml:space="preserve">Recommendations (Priority-Ordered)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  <w:color w:val="B00020"/>
        </w:rPr>
        <w:t xml:space="preserve">Critical (pre-freeze)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Repair syn_architecture: UPDATE ... SET syn_architecture = NULL WHERE syn_architecture = 'nan'; and patch path_synoptics loader to coerce NaN → NULL. Add invariant to script 119.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Repair syn_margin_distance_mm: NULLIF then CAST to DOUBLE. Same loader 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Halt use of margin_status_final in all manuscript tables; substitute margin_all_uninvolved / margin_involved_any. Rebuild margin_status_final after syn_margin 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Tighten ajcc8_m_stage derivation to require PET or biopsy or explicit metastatic diagnosis; re-baseline M1 rate and re-publish.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  <w:color w:val="C44D00"/>
        </w:rPr>
        <w:t xml:space="preserve">High (before submission)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Re-derive hypo/hyperthyroidism prevalence with pre-surgical temporality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Re-gate breast-cancer extraction on explicit "history of" / "s/p"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imaging↔pathology size concordance audit (nodule-to-histology mapping) to script 119.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Document smoking-status 13.1% combined coverage as a manuscript limitation in MANUSCRIPT_READY_CHECKLIST.md.</w:t>
      </w:r>
    </w:p>
    <w:p>
      <w:pPr>
        <w:pStyle w:val="Heading2"/>
        <w:spacing w:after="60" w:before="60"/>
      </w:pPr>
      <w:r>
        <w:rPr>
          <w:b/>
          <w:bCs/>
          <w:i w:val="false"/>
          <w:iCs w:val="false"/>
          <w:color w:val="7B5200"/>
        </w:rPr>
        <w:t xml:space="preserve">Medium / nice-to-have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Replace granular lvi grade with binary lvi_any in primary tables; move grade to supplement.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gland-weight range invariant (&lt;3g, &gt;400g).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Address detail_table_registry_v1.feeds_master_columns prose cleanup to improve canonical_detail_pointer_v1 mapped-column count beyond 12.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</w:pPr>
      <w:r>
        <w:rPr>
          <w:b w:val="false"/>
          <w:bCs w:val="false"/>
          <w:i/>
          <w:iCs/>
          <w:sz w:val="18"/>
          <w:szCs w:val="18"/>
        </w:rPr>
        <w:t xml:space="preserve">End of report. All counts generated by read-only SELECTs on thyroid_canonical_publication_v1_0.main.canonical_patient_master on 2026-04-16 and cross-referenced to scripts/203, 206, 216, 218, 224, 225, 226, 233 and the FINALIZATION_REPORT / MANUSCRIPT_READY_CHECKLIST markdown in the THYROID_2026 repo.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 w:before="0"/>
      <w:jc w:val="left"/>
    </w:pPr>
    <w:r>
      <w:rPr>
        <w:color w:val="6B6B6B"/>
        <w:sz w:val="18"/>
        <w:szCs w:val="18"/>
      </w:rPr>
      <w:t xml:space="preserve">THYROID 2026 — Combined Dry-Run Audit</w:t>
    </w:r>
    <w:r>
      <w:t xml:space="preserve">	</w:t>
    </w:r>
    <w:r>
      <w:rPr>
        <w:color w:val="6B6B6B"/>
        <w:sz w:val="18"/>
        <w:szCs w:val="18"/>
      </w:rPr>
      <w:t xml:space="preserve">2026-04-16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THYROID 2026 — Combined Dry-Run Audit (Prompts 10/11/12)</dc:title>
  <dc:creator>Claude</dc:creator>
  <dc:description>Combined audit report with MotherDuck + repo deep review</dc:description>
  <cp:lastModifiedBy>Un-named</cp:lastModifiedBy>
  <cp:revision>1</cp:revision>
  <dcterms:created xsi:type="dcterms:W3CDTF">2026-04-16T20:23:30.807Z</dcterms:created>
  <dcterms:modified xsi:type="dcterms:W3CDTF">2026-04-16T20:23:30.807Z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