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jc w:val="center"/>
      </w:pPr>
      <w:r>
        <w:rPr>
          <w:rFonts w:ascii="Times New Roman" w:hAnsi="Times New Roman"/>
          <w:b/>
          <w:i w:val="0"/>
          <w:sz w:val="28"/>
        </w:rPr>
        <w:t>M025 v2 Submission Package — README</w:t>
      </w:r>
    </w:p>
    <w:p>
      <w:pPr>
        <w:spacing w:before="0" w:after="360" w:line="360" w:lineRule="auto"/>
        <w:jc w:val="center"/>
      </w:pPr>
      <w:r>
        <w:rPr>
          <w:rFonts w:ascii="Times New Roman" w:hAnsi="Times New Roman"/>
          <w:b w:val="0"/>
          <w:i/>
          <w:sz w:val="22"/>
        </w:rPr>
        <w:t>Prepared 2026-05-05 for submission to Thyroid (Mary Ann Liebert).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Manuscript title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2"/>
        </w:rPr>
        <w:t>Diagnostic Performance of ACR TI-RADS in a 25-Year Operative Thyroid Cohort: Patient-Level Analysis with Nodule-Level Sister Validation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Submission order (recommended)</w:t>
      </w:r>
    </w:p>
    <w:p>
      <w:pPr>
        <w:pStyle w:val="ListNumber"/>
      </w:pPr>
      <w:r>
        <w:rPr>
          <w:rFonts w:ascii="Times New Roman" w:hAnsi="Times New Roman"/>
          <w:sz w:val="22"/>
        </w:rPr>
        <w:t>cover_and_admin/00_Cover_Letter.docx</w:t>
      </w:r>
    </w:p>
    <w:p>
      <w:pPr>
        <w:pStyle w:val="ListNumber"/>
      </w:pPr>
      <w:r>
        <w:rPr>
          <w:rFonts w:ascii="Times New Roman" w:hAnsi="Times New Roman"/>
          <w:sz w:val="22"/>
        </w:rPr>
        <w:t>manuscript/01_Title_Page.docx</w:t>
      </w:r>
    </w:p>
    <w:p>
      <w:pPr>
        <w:pStyle w:val="ListNumber"/>
      </w:pPr>
      <w:r>
        <w:rPr>
          <w:rFonts w:ascii="Times New Roman" w:hAnsi="Times New Roman"/>
          <w:sz w:val="22"/>
        </w:rPr>
        <w:t>manuscript/02_Manuscript_Main.docx</w:t>
      </w:r>
    </w:p>
    <w:p>
      <w:pPr>
        <w:pStyle w:val="ListNumber"/>
      </w:pPr>
      <w:r>
        <w:rPr>
          <w:rFonts w:ascii="Times New Roman" w:hAnsi="Times New Roman"/>
          <w:sz w:val="22"/>
        </w:rPr>
        <w:t>manuscript/03_Tables.docx</w:t>
      </w:r>
    </w:p>
    <w:p>
      <w:pPr>
        <w:pStyle w:val="ListNumber"/>
      </w:pPr>
      <w:r>
        <w:rPr>
          <w:rFonts w:ascii="Times New Roman" w:hAnsi="Times New Roman"/>
          <w:sz w:val="22"/>
        </w:rPr>
        <w:t>manuscript/04_Figures_with_Legends.docx</w:t>
      </w:r>
    </w:p>
    <w:p>
      <w:pPr>
        <w:pStyle w:val="ListNumber"/>
      </w:pPr>
      <w:r>
        <w:rPr>
          <w:rFonts w:ascii="Times New Roman" w:hAnsi="Times New Roman"/>
          <w:sz w:val="22"/>
        </w:rPr>
        <w:t>figures/ (Figure_1 .. Figure_5 .. Figure_S1 — PNG and PDF)</w:t>
      </w:r>
    </w:p>
    <w:p>
      <w:pPr>
        <w:pStyle w:val="ListNumber"/>
      </w:pPr>
      <w:r>
        <w:rPr>
          <w:rFonts w:ascii="Times New Roman" w:hAnsi="Times New Roman"/>
          <w:sz w:val="22"/>
        </w:rPr>
        <w:t>cover_and_admin/01_Suggested_Reviewers.docx</w:t>
      </w:r>
    </w:p>
    <w:p>
      <w:pPr>
        <w:pStyle w:val="ListNumber"/>
      </w:pPr>
      <w:r>
        <w:rPr>
          <w:rFonts w:ascii="Times New Roman" w:hAnsi="Times New Roman"/>
          <w:sz w:val="22"/>
        </w:rPr>
        <w:t>cover_and_admin/02_Highlights.docx</w:t>
      </w:r>
    </w:p>
    <w:p>
      <w:pPr>
        <w:pStyle w:val="ListNumber"/>
      </w:pPr>
      <w:r>
        <w:rPr>
          <w:rFonts w:ascii="Times New Roman" w:hAnsi="Times New Roman"/>
          <w:sz w:val="22"/>
        </w:rPr>
        <w:t>cover_and_admin/03_Submission_Checklist.docx</w:t>
      </w:r>
    </w:p>
    <w:p>
      <w:pPr>
        <w:pStyle w:val="ListNumber"/>
      </w:pPr>
      <w:r>
        <w:rPr>
          <w:rFonts w:ascii="Times New Roman" w:hAnsi="Times New Roman"/>
          <w:sz w:val="22"/>
        </w:rPr>
        <w:t>supplementary/M025_master_data.xlsx</w:t>
      </w:r>
    </w:p>
    <w:p>
      <w:pPr>
        <w:pStyle w:val="ListNumber"/>
      </w:pPr>
      <w:r>
        <w:rPr>
          <w:rFonts w:ascii="Times New Roman" w:hAnsi="Times New Roman"/>
          <w:sz w:val="22"/>
        </w:rPr>
        <w:t>supplementary/M025_tables_and_summary.xlsx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Headline numbers</w:t>
      </w:r>
    </w:p>
    <w:p>
      <w:pPr>
        <w:pStyle w:val="ListBullet"/>
      </w:pPr>
      <w:r>
        <w:rPr>
          <w:rFonts w:ascii="Times New Roman" w:hAnsi="Times New Roman"/>
          <w:sz w:val="22"/>
        </w:rPr>
        <w:t>Patient cohort: n = 3,375; 1,479 (43.8%) pathology-proven malignant; AUC 0.648 (95% CI 0.630–0.667); Youden-optimal TR≥TR4 (J = 0.271).</w:t>
      </w:r>
    </w:p>
    <w:p>
      <w:pPr>
        <w:pStyle w:val="ListBullet"/>
      </w:pPr>
      <w:r>
        <w:rPr>
          <w:rFonts w:ascii="Times New Roman" w:hAnsi="Times New Roman"/>
          <w:sz w:val="22"/>
        </w:rPr>
        <w:t>Strict-eligible nodule sister cohort: n = 3,687 (631 path-malignant); AUC 0.640; TR4 ROM 18.7% (16.3–21.5); TR5 ROM 26.1% (23.7–28.6).</w:t>
      </w:r>
    </w:p>
    <w:p>
      <w:pPr>
        <w:pStyle w:val="ListBullet"/>
      </w:pPr>
      <w:r>
        <w:rPr>
          <w:rFonts w:ascii="Times New Roman" w:hAnsi="Times New Roman"/>
          <w:sz w:val="22"/>
        </w:rPr>
        <w:t>Patient-versus-nodule inflation: +28.7 pp (TR4) and +32.6 pp (TR5).</w:t>
      </w:r>
    </w:p>
    <w:p>
      <w:pPr>
        <w:pStyle w:val="ListBullet"/>
      </w:pPr>
      <w:r>
        <w:rPr>
          <w:rFonts w:ascii="Times New Roman" w:hAnsi="Times New Roman"/>
          <w:sz w:val="22"/>
        </w:rPr>
        <w:t>ACR FNA-eligibility audit: 1,553 unnecessary FNAs; 472 cancers below threshold.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