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pPr>
      <w:r>
        <w:rPr>
          <w:rFonts w:ascii="Times New Roman" w:hAnsi="Times New Roman"/>
          <w:b w:val="0"/>
          <w:i w:val="0"/>
          <w:sz w:val="22"/>
        </w:rPr>
        <w:t>May 05, 2026</w:t>
      </w:r>
    </w:p>
    <w:p>
      <w:pPr>
        <w:spacing w:before="0" w:after="120" w:line="360" w:lineRule="auto"/>
      </w:pPr>
      <w:r>
        <w:rPr>
          <w:rFonts w:ascii="Times New Roman" w:hAnsi="Times New Roman"/>
          <w:b w:val="0"/>
          <w:i w:val="0"/>
          <w:sz w:val="22"/>
        </w:rPr>
        <w:t>Editor-in-Chief</w:t>
      </w:r>
    </w:p>
    <w:p>
      <w:pPr>
        <w:spacing w:before="0" w:after="120" w:line="360" w:lineRule="auto"/>
      </w:pPr>
      <w:r>
        <w:rPr>
          <w:rFonts w:ascii="Times New Roman" w:hAnsi="Times New Roman"/>
          <w:b w:val="0"/>
          <w:i w:val="0"/>
          <w:sz w:val="22"/>
        </w:rPr>
        <w:t>Thyroid</w:t>
      </w:r>
    </w:p>
    <w:p>
      <w:pPr>
        <w:spacing w:before="0" w:after="360" w:line="360" w:lineRule="auto"/>
      </w:pPr>
      <w:r>
        <w:rPr>
          <w:rFonts w:ascii="Times New Roman" w:hAnsi="Times New Roman"/>
          <w:b w:val="0"/>
          <w:i w:val="0"/>
          <w:sz w:val="22"/>
        </w:rPr>
        <w:t>Mary Ann Liebert, Inc.</w:t>
      </w:r>
    </w:p>
    <w:p>
      <w:pPr>
        <w:spacing w:before="0" w:after="240" w:line="360" w:lineRule="auto"/>
      </w:pPr>
      <w:r>
        <w:rPr>
          <w:rFonts w:ascii="Times New Roman" w:hAnsi="Times New Roman"/>
          <w:b w:val="0"/>
          <w:i w:val="0"/>
          <w:sz w:val="22"/>
        </w:rPr>
        <w:t>Dear Editor,</w:t>
      </w:r>
    </w:p>
    <w:p>
      <w:pPr>
        <w:spacing w:before="0" w:after="120" w:line="360" w:lineRule="auto"/>
      </w:pPr>
      <w:r>
        <w:rPr>
          <w:rFonts w:ascii="Times New Roman" w:hAnsi="Times New Roman"/>
          <w:b w:val="0"/>
          <w:i w:val="0"/>
          <w:sz w:val="22"/>
        </w:rPr>
        <w:t>We are pleased to submit our original research manuscript, “Diagnostic Performance of ACR TI-RADS in a 25-Year Operative Thyroid Cohort: Patient-Level Analysis with Nodule-Level Sister Validation,” for consideration as an Original Article in Thyroid.</w:t>
      </w:r>
    </w:p>
    <w:p>
      <w:pPr>
        <w:spacing w:before="0" w:after="120" w:line="360" w:lineRule="auto"/>
      </w:pPr>
      <w:r>
        <w:rPr>
          <w:rFonts w:ascii="Times New Roman" w:hAnsi="Times New Roman"/>
          <w:b w:val="0"/>
          <w:i w:val="0"/>
          <w:sz w:val="22"/>
        </w:rPr>
        <w:t>In a contemporary 25-year operative cohort of 3,375 thyroidectomy patients, we demonstrate that ACR TI-RADS provides modest patient-level discrimination (AUC 0.648, 95% CI 0.630–0.667) with TR≥TR4 as the Youden-optimal threshold (J = 0.271). Per-category patient-level risk of malignancy (ROM) substantially exceeds the ACR 2017 expected ranges at TR1–TR4, replicating a pattern reported in more than 25 prior operative-cohort validations and routinely attributed to selection bias.</w:t>
      </w:r>
    </w:p>
    <w:p>
      <w:pPr>
        <w:spacing w:before="0" w:after="120" w:line="360" w:lineRule="auto"/>
      </w:pPr>
      <w:r>
        <w:rPr>
          <w:rFonts w:ascii="Times New Roman" w:hAnsi="Times New Roman"/>
          <w:b w:val="0"/>
          <w:i w:val="0"/>
          <w:sz w:val="22"/>
        </w:rPr>
        <w:t>The novel contribution of this work is a pre-specified, matched per-nodule sister analysis (n = 3,687 strict ACR 2017 feature-complete nodules from 1,668 patients; 631 pathology-proven malignant). At the nodule grain, TR4 ROM (18.7%) and TR5 ROM (26.1%) recover within the ACR-published expected bands. The patient-versus-nodule inflation we report (+28.7 percentage points at TR4; +32.6 at TR5) directly quantifies the magnitude of multinodular attribution error and demonstrates that a substantial fraction of operative-cohort ROM elevation previously attributed solely to selection bias is in fact a denominator-attribution artifact at patient grain.</w:t>
      </w:r>
    </w:p>
    <w:p>
      <w:pPr>
        <w:spacing w:before="0" w:after="120" w:line="360" w:lineRule="auto"/>
      </w:pPr>
      <w:r>
        <w:rPr>
          <w:rFonts w:ascii="Times New Roman" w:hAnsi="Times New Roman"/>
          <w:b w:val="0"/>
          <w:i w:val="0"/>
          <w:sz w:val="22"/>
        </w:rPr>
        <w:t>We believe this work is well-suited to Thyroid for three reasons. First, the patient-versus-nodule grain calibration question is methodologically central to every operative-cohort TI-RADS validation in the literature, and our quantitative answer has direct implications for how future studies should report ROM. Second, our cohort is racially diverse (45.5% Black or African American), enhancing external generalizability beyond cohorts that dominate the existing literature. Third, our ACR 2017 re-scoring pipeline (99.3% drawn from a structured imaging-nodule-master source rather than LLM-augmented, with independent institutional verification) and pre-specified era-split and time-window sensitivity analyses provide a transparent harmonization template for retrospective TI-RADS research that spans the 2017 lexicon boundary.</w:t>
      </w:r>
    </w:p>
    <w:p>
      <w:pPr>
        <w:spacing w:before="0" w:after="120" w:line="360" w:lineRule="auto"/>
      </w:pPr>
      <w:r>
        <w:rPr>
          <w:rFonts w:ascii="Times New Roman" w:hAnsi="Times New Roman"/>
          <w:b w:val="0"/>
          <w:i w:val="0"/>
          <w:sz w:val="22"/>
        </w:rPr>
        <w:t>This manuscript has not been published elsewhere and is not under consideration by any other journal. All authors have read and approved the submission and have contributed substantially to the work as detailed in the CRediT statement on the title page. The study was conducted under Emory University Institutional Review Board protocol [#TBD] with informed-consent waiver. The authors declare no conflicts of interest related to this work.</w:t>
      </w:r>
    </w:p>
    <w:p>
      <w:pPr>
        <w:spacing w:before="0" w:after="120" w:line="360" w:lineRule="auto"/>
      </w:pPr>
      <w:r>
        <w:rPr>
          <w:rFonts w:ascii="Times New Roman" w:hAnsi="Times New Roman"/>
          <w:b w:val="0"/>
          <w:i w:val="0"/>
          <w:sz w:val="22"/>
        </w:rPr>
        <w:t>We confirm the manuscript adheres to Thyroid’s Original Article requirements (structured abstract ≤250 words; main text ≤4,000 words; Vancouver-style references; no more than 6 in-text figures and tables). Suggested reviewers and a list of preferred and non-preferred reviewers are appended.</w:t>
      </w:r>
    </w:p>
    <w:p>
      <w:pPr>
        <w:spacing w:before="0" w:after="360" w:line="360" w:lineRule="auto"/>
      </w:pPr>
      <w:r>
        <w:rPr>
          <w:rFonts w:ascii="Times New Roman" w:hAnsi="Times New Roman"/>
          <w:b w:val="0"/>
          <w:i w:val="0"/>
          <w:sz w:val="22"/>
        </w:rPr>
        <w:t>Thank you for considering our work. We look forward to your editorial decision and are happy to provide any additional information.</w:t>
      </w:r>
    </w:p>
    <w:p>
      <w:pPr>
        <w:spacing w:before="0" w:after="480" w:line="360" w:lineRule="auto"/>
      </w:pPr>
      <w:r>
        <w:rPr>
          <w:rFonts w:ascii="Times New Roman" w:hAnsi="Times New Roman"/>
          <w:b w:val="0"/>
          <w:i w:val="0"/>
          <w:sz w:val="22"/>
        </w:rPr>
        <w:t>Sincerely,</w:t>
      </w:r>
    </w:p>
    <w:p>
      <w:pPr>
        <w:spacing w:before="0" w:after="120" w:line="360" w:lineRule="auto"/>
      </w:pPr>
      <w:r>
        <w:rPr>
          <w:rFonts w:ascii="Times New Roman" w:hAnsi="Times New Roman"/>
          <w:b w:val="0"/>
          <w:i w:val="0"/>
          <w:sz w:val="22"/>
        </w:rPr>
        <w:t>Logan D. Glosser, B.S.</w:t>
      </w:r>
    </w:p>
    <w:p>
      <w:pPr>
        <w:spacing w:before="0" w:after="120" w:line="360" w:lineRule="auto"/>
      </w:pPr>
      <w:r>
        <w:rPr>
          <w:rFonts w:ascii="Times New Roman" w:hAnsi="Times New Roman"/>
          <w:b w:val="0"/>
          <w:i w:val="0"/>
          <w:sz w:val="22"/>
        </w:rPr>
        <w:t>On behalf of all co-authors</w:t>
      </w:r>
    </w:p>
    <w:p>
      <w:pPr>
        <w:spacing w:before="0" w:after="120" w:line="360" w:lineRule="auto"/>
      </w:pPr>
      <w:r>
        <w:rPr>
          <w:rFonts w:ascii="Times New Roman" w:hAnsi="Times New Roman"/>
          <w:b w:val="0"/>
          <w:i w:val="0"/>
          <w:sz w:val="22"/>
        </w:rPr>
        <w:t>Department of Surgery, Emory University School of Medicine</w:t>
      </w:r>
    </w:p>
    <w:p>
      <w:pPr>
        <w:spacing w:before="0" w:after="120" w:line="360" w:lineRule="auto"/>
      </w:pPr>
      <w:r>
        <w:rPr>
          <w:rFonts w:ascii="Times New Roman" w:hAnsi="Times New Roman"/>
          <w:b w:val="0"/>
          <w:i w:val="0"/>
          <w:sz w:val="22"/>
        </w:rPr>
        <w:t>logan.glosser@gmail.com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