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60" w:lineRule="auto"/>
        <w:jc w:val="center"/>
      </w:pPr>
      <w:r>
        <w:rPr>
          <w:rFonts w:ascii="Times New Roman" w:hAnsi="Times New Roman"/>
          <w:b/>
          <w:i w:val="0"/>
          <w:sz w:val="28"/>
        </w:rPr>
        <w:t>Highlights / Key Points</w:t>
      </w:r>
    </w:p>
    <w:p>
      <w:pPr>
        <w:pStyle w:val="ListBullet"/>
      </w:pPr>
      <w:r>
        <w:rPr>
          <w:rFonts w:ascii="Times New Roman" w:hAnsi="Times New Roman"/>
          <w:sz w:val="22"/>
        </w:rPr>
        <w:t>In a 25-year operative cohort of 3,375 thyroidectomy patients, ACR TI-RADS provides modest patient-level discrimination (AUC 0.648, 95% CI 0.630–0.667), with TR≥TR4 as the Youden-optimal threshold (J = 0.271; sensitivity 71.3%, specificity 55.9%).</w:t>
      </w:r>
    </w:p>
    <w:p>
      <w:pPr>
        <w:pStyle w:val="ListBullet"/>
      </w:pPr>
      <w:r>
        <w:rPr>
          <w:rFonts w:ascii="Times New Roman" w:hAnsi="Times New Roman"/>
          <w:sz w:val="22"/>
        </w:rPr>
        <w:t>Patient-level per-category ROM at TR1–TR4 substantially exceeds the ACR 2017 expected bands (TR3 27.6%; TR4 47.4%), reproducing a pattern reported across &gt;25 prior operative-cohort validations.</w:t>
      </w:r>
    </w:p>
    <w:p>
      <w:pPr>
        <w:pStyle w:val="ListBullet"/>
      </w:pPr>
      <w:r>
        <w:rPr>
          <w:rFonts w:ascii="Times New Roman" w:hAnsi="Times New Roman"/>
          <w:sz w:val="22"/>
        </w:rPr>
        <w:t>A pre-specified per-nodule sister analysis (n = 3,687 strict-ACR feature-complete nodules) recovers ACR-expected calibration at TR4 (18.7%) and TR5 (26.1%); per-nodule AUC is 0.640.</w:t>
      </w:r>
    </w:p>
    <w:p>
      <w:pPr>
        <w:pStyle w:val="ListBullet"/>
      </w:pPr>
      <w:r>
        <w:rPr>
          <w:rFonts w:ascii="Times New Roman" w:hAnsi="Times New Roman"/>
          <w:sz w:val="22"/>
        </w:rPr>
        <w:t>Patient-versus-nodule inflation (+28.7 percentage points at TR4; +32.6 at TR5) directly quantifies multinodular attribution error and demonstrates that operative-cohort ROM elevation reflects more than selection bias alone.</w:t>
      </w:r>
    </w:p>
    <w:p>
      <w:pPr>
        <w:pStyle w:val="ListBullet"/>
      </w:pPr>
      <w:r>
        <w:rPr>
          <w:rFonts w:ascii="Times New Roman" w:hAnsi="Times New Roman"/>
          <w:sz w:val="22"/>
        </w:rPr>
        <w:t>Retrospective application of ACR 2017 FNA-eligibility rules flagged 1,553 unnecessary FNAs and missed 472 cancers below threshold (15.0% of malignancies).</w:t>
      </w:r>
    </w:p>
    <w:p>
      <w:pPr>
        <w:pStyle w:val="ListBullet"/>
      </w:pPr>
      <w:r>
        <w:rPr>
          <w:rFonts w:ascii="Times New Roman" w:hAnsi="Times New Roman"/>
          <w:sz w:val="22"/>
        </w:rPr>
        <w:t>Calibration findings are robust to a pre-specified post-2017 era subset (TR4 18.0%; TR5 24.4%) and a tighter 180-day US-to-surgery match window (TR4 15.7%; TR5 22.2%).</w:t>
      </w:r>
    </w:p>
    <w:p>
      <w:pPr>
        <w:pStyle w:val="ListBullet"/>
      </w:pPr>
      <w:r>
        <w:rPr>
          <w:rFonts w:ascii="Times New Roman" w:hAnsi="Times New Roman"/>
          <w:sz w:val="22"/>
        </w:rPr>
        <w:t>Future operative-cohort TI-RADS validation studies should report per-nodule ROM in addition to or in place of per-patient ROM to permit valid comparison with ACR 2017 expected bands.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