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2"/>
        </w:rPr>
        <w:t>TITLE PAGE</w:t>
      </w:r>
    </w:p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Diagnostic Performance of ACR TI-RADS in a 25-Year Operative Thyroid Cohort: Patient-Level Analysis with Nodule-Level Sister Validation</w:t>
      </w:r>
    </w:p>
    <w:p>
      <w:pPr>
        <w:spacing w:before="0" w:after="48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Running title: ACR TI-RADS in a 25-year operative cohort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Authors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Logan D. Glosser, B.S.¹; [Co-author 2, degree]¹; [Senior Author], M.D., F.A.C.S.¹</w:t>
        <w:br/>
        <w:t>On behalf of the THYROID_2026 Institutional Study Group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Affiliations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¹ Department of Surgery, Emory University School of Medicine, Atlanta, Georgia, USA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/>
          <w:sz w:val="22"/>
        </w:rPr>
        <w:t>[TODO: Confirm full author list and ORCID iDs prior to submission.]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Corresponding Author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Logan D. Glosser, B.S.</w:t>
        <w:br/>
        <w:t>Department of Surgery, Emory University School of Medicine</w:t>
        <w:br/>
        <w:t>[Address line 1]</w:t>
        <w:br/>
        <w:t>[Address line 2]</w:t>
        <w:br/>
        <w:t>Phone: [###-###-####]</w:t>
        <w:br/>
        <w:t>Email: logan.glosser@gmail.com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Word counts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Abstract: 250 words.</w:t>
        <w:br/>
        <w:t>Main text (Introduction–Conclusions): ~3,800 words.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Tables and Figures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In-text tables: 4 (Tables 1–4).</w:t>
        <w:br/>
        <w:t>In-text figures: 5 (Figures 1, 2, 3, 3b, 4, 5).</w:t>
        <w:br/>
        <w:t>Supplementary tables: 6 (S1–S6).</w:t>
        <w:br/>
        <w:t>Supplementary figures: 1 (S1).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Key Words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ACR TI-RADS; thyroid nodule; risk of malignancy; operative cohort; multinodular attribution; selection bias; ultrasound; diagnostic performance; Bethesda; Wilson confidence interval.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Funding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[TODO: Confirm funding sources or state 'No external funding was received for this work.']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Conflicts of Interest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The authors declare no conflicts of interest related to this work.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Ethics / IRB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This retrospective analysis was conducted under Emory University Institutional Review Board protocol [#TBD] with informed-consent waiver. De-identified data only.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Data and Code Availability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De-identified summary tables and reproduction SQL/Python are included as Supplementary Material. Patient-level data are subject to institutional sharing rules and available on reasonable request to the corresponding author.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