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center"/>
      </w:pPr>
      <w:r>
        <w:rPr>
          <w:rFonts w:ascii="Times New Roman" w:hAnsi="Times New Roman"/>
          <w:b/>
          <w:i w:val="0"/>
          <w:sz w:val="28"/>
        </w:rPr>
        <w:t>Diagnostic Performance of ACR TI-RADS in a 25-Year Operative Thyroid Cohort: Patient-Level Analysis with Nodule-Level Sister Validation</w:t>
      </w:r>
    </w:p>
    <w:p>
      <w:pPr>
        <w:spacing w:before="240" w:after="120" w:line="276" w:lineRule="auto"/>
      </w:pPr>
      <w:r>
        <w:rPr>
          <w:rFonts w:ascii="Times New Roman" w:hAnsi="Times New Roman"/>
          <w:b/>
          <w:sz w:val="28"/>
        </w:rPr>
        <w:t>Abstract</w:t>
      </w:r>
    </w:p>
    <w:p>
      <w:pPr>
        <w:spacing w:before="0" w:after="120" w:line="360" w:lineRule="auto"/>
      </w:pPr>
      <w:r>
        <w:rPr>
          <w:rFonts w:ascii="Times New Roman" w:hAnsi="Times New Roman"/>
          <w:b w:val="0"/>
          <w:i w:val="0"/>
          <w:sz w:val="22"/>
        </w:rPr>
        <w:t>Background. The American College of Radiology Thyroid Imaging Reporting and Data System (ACR TI-RADS) is the most widely used ultrasound risk-stratification system for thyroid nodules. Operative-cohort validations consistently report category-specific risk-of-malignancy (ROM) above the ACR-published expected ranges, a finding usually attributed to selection bias. We re-examined diagnostic performance and calibration in a 25-year single-institution operative cohort, with a pre-specified secondary analysis at the nodule grain to quantify how much operative-cohort ROM elevation reflects multinodular attribution error rather than pure selection.</w:t>
      </w:r>
    </w:p>
    <w:p>
      <w:pPr>
        <w:spacing w:before="0" w:after="120" w:line="360" w:lineRule="auto"/>
      </w:pPr>
      <w:r>
        <w:rPr>
          <w:rFonts w:ascii="Times New Roman" w:hAnsi="Times New Roman"/>
          <w:b w:val="0"/>
          <w:i w:val="0"/>
          <w:sz w:val="22"/>
        </w:rPr>
        <w:t>Methods. We assembled an operative thyroid cohort of 3,375 patients with surgical pathology between 1994 and 2025. The primary analysis used patient grain with the maximum re-scored ACR 2017 TI-RADS category as predictor and any pathology-proven thyroid malignancy (WHO 2022) as reference. Diagnostic performance was computed at TR≥TR3, TR≥TR4 and TR≥TR5 with Wilson 95% confidence intervals (CIs); the Youden index identified the optimal threshold. A pre-specified sister analysis at the nodule grain (n=3,687 strict ACR feature-complete nodules; 631 path-malignant) computed per-nodule ROM.</w:t>
      </w:r>
    </w:p>
    <w:p>
      <w:pPr>
        <w:spacing w:before="0" w:after="120" w:line="360" w:lineRule="auto"/>
      </w:pPr>
      <w:r>
        <w:rPr>
          <w:rFonts w:ascii="Times New Roman" w:hAnsi="Times New Roman"/>
          <w:b w:val="0"/>
          <w:i w:val="0"/>
          <w:sz w:val="22"/>
        </w:rPr>
        <w:t>Results. Among 3,375 patients (79.7% female; 45.5% Black, 40.9% White; 43.8% malignant), patient-level discrimination was modest (AUC 0.648, 95% CI 0.630–0.667). The Youden-optimal threshold was TR≥TR4 (J=0.271; sensitivity 71.3%, specificity 55.9%). Per-category patient ROM was 28.2%, 32.1%, 27.6%, 47.4%, and 58.7% for TR1–TR5; only TR5 fell within ACR-expected bands. The nodule-level sister analysis recovered ACR-expected calibration at TR4 (18.7%, 95% CI 16.3–21.5) and TR5 (26.1%, 95% CI 23.7–28.6); per-nodule AUC 0.640. Patient-versus-nodule inflation was +28.7 percentage points (pp) at TR4 and +32.6 pp at TR5.</w:t>
      </w:r>
    </w:p>
    <w:p>
      <w:pPr>
        <w:spacing w:before="0" w:after="120" w:line="360" w:lineRule="auto"/>
      </w:pPr>
      <w:r>
        <w:rPr>
          <w:rFonts w:ascii="Times New Roman" w:hAnsi="Times New Roman"/>
          <w:b w:val="0"/>
          <w:i w:val="0"/>
          <w:sz w:val="22"/>
        </w:rPr>
        <w:t>Conclusions. Operative-cohort ROM elevation at TR3–TR4 reflects substantial multinodular attribution at patient grain; per-nodule reanalysis recovers ACR-expected calibration. Future operative-cohort TI-RADS validations should report per-nodule ROM.</w:t>
      </w:r>
    </w:p>
    <w:p>
      <w:pPr>
        <w:spacing w:before="0" w:after="120" w:line="360" w:lineRule="auto"/>
      </w:pPr>
      <w:r>
        <w:rPr>
          <w:rFonts w:ascii="Times New Roman" w:hAnsi="Times New Roman"/>
          <w:b w:val="0"/>
          <w:i/>
          <w:sz w:val="22"/>
        </w:rPr>
        <w:t>Keywords: ACR TI-RADS; thyroid nodule; risk of malignancy; operative cohort; multinodular attribution; selection bias; ultrasound; diagnostic performance.</w:t>
      </w:r>
    </w:p>
    <w:p>
      <w:pPr>
        <w:spacing w:before="240" w:after="120" w:line="276" w:lineRule="auto"/>
      </w:pPr>
      <w:r>
        <w:rPr>
          <w:rFonts w:ascii="Times New Roman" w:hAnsi="Times New Roman"/>
          <w:b/>
          <w:sz w:val="28"/>
        </w:rPr>
        <w:t>Introduction</w:t>
      </w:r>
    </w:p>
    <w:p>
      <w:pPr>
        <w:spacing w:before="0" w:after="120" w:line="360" w:lineRule="auto"/>
      </w:pPr>
      <w:r>
        <w:rPr>
          <w:rFonts w:ascii="Times New Roman" w:hAnsi="Times New Roman"/>
          <w:b w:val="0"/>
          <w:i w:val="0"/>
          <w:sz w:val="22"/>
        </w:rPr>
        <w:t>Thyroid nodules are highly prevalent yet rarely malignant; risk stratification of ultrasound features therefore drives clinical decisions about fine-needle aspiration (FNA) biopsy and surgery.¹,² The American College of Radiology Thyroid Imaging Reporting and Data System (ACR TI-RADS), introduced by Tessler and colleagues in 2017, provides a five-feature additive scoring algorithm with five categorical risk tiers (TR1–TR5) and explicit size-based FNA eligibility thresholds.³ The ACR 2017 expectations for per-category ROM (TR1 &lt;2%, TR2 &lt;2%, TR3 &lt;5%, TR4 5–20%, TR5 &gt;20%) were derived predominantly from outpatient and screening populations.³,⁴ The American Thyroid Association management guidelines provide complementary pattern-based stratification,⁵ and the Bethesda System for Reporting Thyroid Cytopathology has been recently updated to its third edition.⁶</w:t>
      </w:r>
    </w:p>
    <w:p>
      <w:pPr>
        <w:spacing w:before="0" w:after="120" w:line="360" w:lineRule="auto"/>
      </w:pPr>
      <w:r>
        <w:rPr>
          <w:rFonts w:ascii="Times New Roman" w:hAnsi="Times New Roman"/>
          <w:b w:val="0"/>
          <w:i w:val="0"/>
          <w:sz w:val="22"/>
        </w:rPr>
        <w:t>Multiple operative-cohort validation studies of ACR TI-RADS have observed that per-category ROM in surgically resected nodules consistently exceeds the ACR-published expected ranges, particularly at lower TR categories.⁷⁻¹³ A recent systematic review of 25 ACR TI-RADS surgical-cohort validations found overall ROM ranging from 12.2% to 66.1%, with category-specific rates routinely exceeding ACR-expected bands; only 8% of these studies (2 of 25) explicitly acknowledged selection bias as a potential explanation, and another 20% provided only partial acknowledgment.¹⁴ Reported TR5 ROM ranged from 40% to 100% across studies, while TR3 rates ranged from 0% to 43.5%.⁷,⁸,¹³,¹⁴ Studies enrolling indeterminate-cytology cohorts reported the highest overall ROM (47–66%); prospective consecutive enrollment yielded the lowest (12–13%).¹⁴ This 'operative inflation' has been attributed primarily to selection bias and to differences in pathology referent.</w:t>
      </w:r>
    </w:p>
    <w:p>
      <w:pPr>
        <w:spacing w:before="0" w:after="120" w:line="360" w:lineRule="auto"/>
      </w:pPr>
      <w:r>
        <w:rPr>
          <w:rFonts w:ascii="Times New Roman" w:hAnsi="Times New Roman"/>
          <w:b w:val="0"/>
          <w:i w:val="0"/>
          <w:sz w:val="22"/>
        </w:rPr>
        <w:t>An under-examined alternative explanation is multinodular attribution error. When a patient has multiple ultrasound-detectable nodules and is collapsed to a single patient-level TI-RADS score (most commonly the maximum across exams and nodules), all path-proven malignancies in that patient are credited to that single category, even when the histologically malignant lesion is not the highest-TR nodule. This convention couples patient-level ROM mechanically to the prevalence of multinodular disease in the cohort and inflates apparent operative-cohort risk independently of any selection effect.</w:t>
      </w:r>
    </w:p>
    <w:p>
      <w:pPr>
        <w:spacing w:before="0" w:after="120" w:line="360" w:lineRule="auto"/>
      </w:pPr>
      <w:r>
        <w:rPr>
          <w:rFonts w:ascii="Times New Roman" w:hAnsi="Times New Roman"/>
          <w:b w:val="0"/>
          <w:i w:val="0"/>
          <w:sz w:val="22"/>
        </w:rPr>
        <w:t>Longitudinal thyroid-research validation across evolving classification systems further requires deliberate harmonization. A recent systematic review of 40 longitudinal sources identified retrospective re-classification, parallel application of multiple systems, and pre/post comparison designs as the dominant strategies; standardization improved diagnostic accuracy from 25.9% to 53.7% in one institution.¹⁵ Scoring-based systems such as ACR TI-RADS demonstrate lower interobserver variability than pattern-based approaches, supporting their use in multi-center longitudinal research.¹⁵</w:t>
      </w:r>
    </w:p>
    <w:p>
      <w:pPr>
        <w:spacing w:before="0" w:after="120" w:line="360" w:lineRule="auto"/>
      </w:pPr>
      <w:r>
        <w:rPr>
          <w:rFonts w:ascii="Times New Roman" w:hAnsi="Times New Roman"/>
          <w:b w:val="0"/>
          <w:i w:val="0"/>
          <w:sz w:val="22"/>
        </w:rPr>
        <w:t>We therefore sought to characterize ACR TI-RADS diagnostic performance and per-category ROM calibration in a 25-year single-institution operative thyroid cohort, applying retrospective re-scoring uniformly across the entire cohort era and parallel patient-grain and nodule-grain analyses, in order to quantify the contribution of multinodular attribution error to operative-cohort ROM elevation previously attributed solely to selection bias.</w:t>
      </w:r>
    </w:p>
    <w:p>
      <w:pPr>
        <w:spacing w:before="240" w:after="120" w:line="276" w:lineRule="auto"/>
      </w:pPr>
      <w:r>
        <w:rPr>
          <w:rFonts w:ascii="Times New Roman" w:hAnsi="Times New Roman"/>
          <w:b/>
          <w:sz w:val="28"/>
        </w:rPr>
        <w:t>Methods</w:t>
      </w:r>
    </w:p>
    <w:p>
      <w:pPr>
        <w:spacing w:before="160" w:after="120" w:line="276" w:lineRule="auto"/>
      </w:pPr>
      <w:r>
        <w:rPr>
          <w:rFonts w:ascii="Times New Roman" w:hAnsi="Times New Roman"/>
          <w:b/>
          <w:sz w:val="24"/>
        </w:rPr>
        <w:t>Study design and cohort</w:t>
      </w:r>
    </w:p>
    <w:p>
      <w:pPr>
        <w:spacing w:before="0" w:after="120" w:line="360" w:lineRule="auto"/>
      </w:pPr>
      <w:r>
        <w:rPr>
          <w:rFonts w:ascii="Times New Roman" w:hAnsi="Times New Roman"/>
          <w:b w:val="0"/>
          <w:i w:val="0"/>
          <w:sz w:val="22"/>
        </w:rPr>
        <w:t>We analyzed the institutional canonical patient master (canonical_patient_master, MotherDuck thyroid_canonical_publication_v1_0 at release tag pub_v1_1, 2026-05-04), a de-identified longitudinal data warehouse of all thyroid surgical patients at our institution from 1994 to 2025 (n=10,871 unique research IDs). Patients eligible for the primary analysis had at least one preoperative ultrasound with a documented nodule and a definitive operative pathology result, yielding the analytic cohort of n=3,375 (Figure 1).</w:t>
      </w:r>
    </w:p>
    <w:p>
      <w:pPr>
        <w:spacing w:before="160" w:after="120" w:line="276" w:lineRule="auto"/>
      </w:pPr>
      <w:r>
        <w:rPr>
          <w:rFonts w:ascii="Times New Roman" w:hAnsi="Times New Roman"/>
          <w:b/>
          <w:sz w:val="24"/>
        </w:rPr>
        <w:t>ACR 2017 TI-RADS re-scoring across the full cohort era</w:t>
      </w:r>
    </w:p>
    <w:p>
      <w:pPr>
        <w:spacing w:before="0" w:after="120" w:line="360" w:lineRule="auto"/>
      </w:pPr>
      <w:r>
        <w:rPr>
          <w:rFonts w:ascii="Times New Roman" w:hAnsi="Times New Roman"/>
          <w:b w:val="0"/>
          <w:i w:val="0"/>
          <w:sz w:val="22"/>
        </w:rPr>
        <w:t>Because the cohort spans 1994–2025, including a substantial volume of ultrasound reports issued before the ACR TI-RADS 2017 lexicon was published,³ ACR 2017 categories were not extracted from reporter-assigned TR labels in the narrative report. Instead, ACR 2017 categories were re-scored uniformly across the entire cohort from raw nodule-level feature descriptions, using a three-step pipeline.</w:t>
      </w:r>
    </w:p>
    <w:p>
      <w:pPr>
        <w:spacing w:before="0" w:after="120" w:line="360" w:lineRule="auto"/>
      </w:pPr>
      <w:r>
        <w:rPr>
          <w:rFonts w:ascii="Times New Roman" w:hAnsi="Times New Roman"/>
          <w:b w:val="0"/>
          <w:i w:val="0"/>
          <w:sz w:val="22"/>
        </w:rPr>
        <w:t>First, a structured large-language-model (LLM) extraction (Qwen2.5-32B-Instruct-AWQ, served via vLLM) parsed each ultrasound report at the per-nodule grain to assign discrete categorical values to each of the five ACR 2017 features—composition, echogenicity, shape, margin, and calcifications/echogenic foci—from the free-text nodule descriptions. Second, the Tessler 2017 ACR algorithm was applied programmatically (canonical pipeline Script 376) to convert each extracted feature value to its ACR 2017 point assignment and mapped to the categorical TR tier (TR1 = 0, TR2 = 2, TR3 = 3, TR4 = 4–6, TR5 ≥ 7).³ Third, the strict analytic subset required complete five-feature scoring per nodule (acr2017_feature_points_complete = TRUE).</w:t>
      </w:r>
    </w:p>
    <w:p>
      <w:pPr>
        <w:spacing w:before="0" w:after="120" w:line="360" w:lineRule="auto"/>
      </w:pPr>
      <w:r>
        <w:rPr>
          <w:rFonts w:ascii="Times New Roman" w:hAnsi="Times New Roman"/>
          <w:b w:val="0"/>
          <w:i w:val="0"/>
          <w:sz w:val="22"/>
        </w:rPr>
        <w:t>Where the original report happened to include a reporter-assigned TR category, that label was retained as a separate audit column (tirads_reported_in_text) but did not drive the analytic predictor at either grain. This design harmonizes pre- and post-2017 reports under a single uniformly-applied lexicon and is consistent with published retrospective re-classification strategies for handling classification-system evolution.¹⁵ Of the 35,207 nodules with an exam date and a computed ACR 2017 category, 5,186 predate 2017-05-01, of which 381 (7.4%) entered the strict analytic subset; 30,021 are post-2017 with 3,306 (11.0%) strict-eligible.</w:t>
      </w:r>
    </w:p>
    <w:p>
      <w:pPr>
        <w:spacing w:before="0" w:after="120" w:line="360" w:lineRule="auto"/>
      </w:pPr>
      <w:r>
        <w:rPr>
          <w:rFonts w:ascii="Times New Roman" w:hAnsi="Times New Roman"/>
          <w:b w:val="0"/>
          <w:i w:val="0"/>
          <w:sz w:val="22"/>
        </w:rPr>
        <w:t>Of the 3,687 nodules in the strict analytic subset, 3,660 (99.3%) derived their five-feature ACR scores from the structured imaging_nodule_master_v1 source (canonical pipeline Script 246), which uses deterministic feature parsing of structured per-exam ultrasound data; only 27 (0.7%) used LLM-augmented feature points. The strict analytic predictor is therefore predominantly derived from a non-LLM structured source. Independent institutional verification of feature extractions across the cohort was performed and documented in canonical build provenance; discordant rows were manually adjudicated.</w:t>
      </w:r>
    </w:p>
    <w:p>
      <w:pPr>
        <w:spacing w:before="160" w:after="120" w:line="276" w:lineRule="auto"/>
      </w:pPr>
      <w:r>
        <w:rPr>
          <w:rFonts w:ascii="Times New Roman" w:hAnsi="Times New Roman"/>
          <w:b/>
          <w:sz w:val="24"/>
        </w:rPr>
        <w:t>Pre-specified time-window sensitivity for per-nodule path matching</w:t>
      </w:r>
    </w:p>
    <w:p>
      <w:pPr>
        <w:spacing w:before="0" w:after="120" w:line="360" w:lineRule="auto"/>
      </w:pPr>
      <w:r>
        <w:rPr>
          <w:rFonts w:ascii="Times New Roman" w:hAnsi="Times New Roman"/>
          <w:b w:val="0"/>
          <w:i w:val="0"/>
          <w:sz w:val="22"/>
        </w:rPr>
        <w:t>Per-nodule path malignancy was assigned by same-side matching of an ultrasound nodule to a pathology-proven thyroid tumor in canonical_path_malignant_events_v1 with surgery date within [exam_date, exam_date + 365 days]. The 365-day window is pragmatic but introduces two forms of potential temporal mismatch: interval growth, and multifocal disease ascertainment in which the operative path-proven malignant nodule is anatomically distinct from the index ultrasound-imaged lesion despite shared laterality. To bound these effects we pre-specified a tighter-window sensitivity arm at the strict-eligible nodule grain, recomputing per-TR ROM at 365-day, 180-day, 90-day, and 30-day cutoffs (Supplementary Table S3). Multifocality at the patient grain was documented across canonical_path_malignant_events_v1: 4,022 patients have at least one path-proven malignant tumor (mean 1.61 tumors per malignant patient; ~61% multifocal). Same-side bilateral matching is conservative; Sensitivity Arm S1D (unilateral-path-only) reports the underestimate bound.</w:t>
      </w:r>
    </w:p>
    <w:p>
      <w:pPr>
        <w:spacing w:before="160" w:after="120" w:line="276" w:lineRule="auto"/>
      </w:pPr>
      <w:r>
        <w:rPr>
          <w:rFonts w:ascii="Times New Roman" w:hAnsi="Times New Roman"/>
          <w:b/>
          <w:sz w:val="24"/>
        </w:rPr>
        <w:t>Patient-level predictor and outcome (primary analysis)</w:t>
      </w:r>
    </w:p>
    <w:p>
      <w:pPr>
        <w:spacing w:before="0" w:after="120" w:line="360" w:lineRule="auto"/>
      </w:pPr>
      <w:r>
        <w:rPr>
          <w:rFonts w:ascii="Times New Roman" w:hAnsi="Times New Roman"/>
          <w:b w:val="0"/>
          <w:i w:val="0"/>
          <w:sz w:val="22"/>
        </w:rPr>
        <w:t>The primary patient-level predictor was the maximum re-scored ACR TI-RADS 2017 category across all preoperative ultrasound exams (max_tirads_category_ever, derived from canonical_us_patient_master_VIEW_v2 post-mig_260). When multiple ultrasound exams existed, the patient was assigned the highest re-scored TR observed; this convention is used in most published operative-cohort validations and matches clinical practice.⁷⁻⁹ The reference standard was any pathology-proven thyroid malignancy on the operative specimen using the WHO 2022 thyroid tumor classification.¹⁶</w:t>
      </w:r>
    </w:p>
    <w:p>
      <w:pPr>
        <w:spacing w:before="160" w:after="120" w:line="276" w:lineRule="auto"/>
      </w:pPr>
      <w:r>
        <w:rPr>
          <w:rFonts w:ascii="Times New Roman" w:hAnsi="Times New Roman"/>
          <w:b/>
          <w:sz w:val="24"/>
        </w:rPr>
        <w:t>Nodule-level predictor and outcome (sister analysis)</w:t>
      </w:r>
    </w:p>
    <w:p>
      <w:pPr>
        <w:spacing w:before="0" w:after="120" w:line="360" w:lineRule="auto"/>
      </w:pPr>
      <w:r>
        <w:rPr>
          <w:rFonts w:ascii="Times New Roman" w:hAnsi="Times New Roman"/>
          <w:b w:val="0"/>
          <w:i w:val="0"/>
          <w:sz w:val="22"/>
        </w:rPr>
        <w:t>For the pre-specified nodule-level sister analysis we used the per-nodule analytic spine (cohort_m025_nodule_level_v1, mig_306). The predictor was per-nodule acr2017_tirads_category. The strict analytic subset required complete five-feature ACR scoring, known laterality, no size-outlier quarantine, and no unresolved multi-nodule attribution flag (analytic_eligible_strict_acr_pernodule = TRUE), yielding n=3,687 nodules across 1,668 patients. The per-nodule reference standard was assigned TRUE if a same-side malignant tumor existed in canonical_path_malignant_events_v1 with surgery date within [exam_date, exam_date + 365 days].</w:t>
      </w:r>
    </w:p>
    <w:p>
      <w:pPr>
        <w:spacing w:before="160" w:after="120" w:line="276" w:lineRule="auto"/>
      </w:pPr>
      <w:r>
        <w:rPr>
          <w:rFonts w:ascii="Times New Roman" w:hAnsi="Times New Roman"/>
          <w:b/>
          <w:sz w:val="24"/>
        </w:rPr>
        <w:t>FNA–Bethesda linkage</w:t>
      </w:r>
    </w:p>
    <w:p>
      <w:pPr>
        <w:spacing w:before="0" w:after="120" w:line="360" w:lineRule="auto"/>
      </w:pPr>
      <w:r>
        <w:rPr>
          <w:rFonts w:ascii="Times New Roman" w:hAnsi="Times New Roman"/>
          <w:b w:val="0"/>
          <w:i w:val="0"/>
          <w:sz w:val="22"/>
        </w:rPr>
        <w:t>Patient-level FNA results were attached via canonical_fna_events_v1; per-nodule FNA Bethesda 2023 was bridged via the legacy nodule–FNA linkage table imaging_fna_linkage_v3 reconstructed at the canonical_us_nodule_v2 keying using (research_id, normalized laterality, |US date − FNA date| ≤ 30 days). Best link per nodule was selected by smallest day_gap then highest legacy linkage score. Of the 3,687 strict-ACR analytic-eligible nodules, 495 (13.4%) had a bridged Bethesda value; of the 3,375 patients, 2,380 (70.5%) had a Bethesda result. The carry-forward limitation of per-nodule FNA size linkage (CF-FNA-SIZE-CM-NULL) is acknowledged in the Discussion.</w:t>
      </w:r>
    </w:p>
    <w:p>
      <w:pPr>
        <w:spacing w:before="160" w:after="120" w:line="276" w:lineRule="auto"/>
      </w:pPr>
      <w:r>
        <w:rPr>
          <w:rFonts w:ascii="Times New Roman" w:hAnsi="Times New Roman"/>
          <w:b/>
          <w:sz w:val="24"/>
        </w:rPr>
        <w:t>Statistical analysis</w:t>
      </w:r>
    </w:p>
    <w:p>
      <w:pPr>
        <w:spacing w:before="0" w:after="120" w:line="360" w:lineRule="auto"/>
      </w:pPr>
      <w:r>
        <w:rPr>
          <w:rFonts w:ascii="Times New Roman" w:hAnsi="Times New Roman"/>
          <w:b w:val="0"/>
          <w:i w:val="0"/>
          <w:sz w:val="22"/>
        </w:rPr>
        <w:t>Continuous variables are reported as mean (SD) or median (interquartile range); categorical variables as count (%). Per-category ROM was computed with Wilson score-based 95% confidence intervals.¹⁷ Diagnostic performance was evaluated at three pre-specified thresholds (TR≥TR3, TR≥TR4, TR≥TR5) with sensitivity, specificity, positive predictive value (PPV), negative predictive value (NPV), and Wilson 95% CIs. The Youden index (J = sensitivity + specificity − 1) identified the optimal clinical threshold.¹⁸ Discrimination was summarized by the area under the receiver-operating-characteristic curve (AUC) computed via the closed-form rank Mann–Whitney equivalent.¹⁹ Patient-level versus nodule-level per-TR ROM divergence was reported in percentage points (pp) and assessed against ACR 2017 expected bands. Pre-specified sensitivity arms (S1A relaxed cohort, S1B first-US-only, S1C single-nodule patients, S1D unilateral-path-only) explored selection effects (Supplementary Table S1). Analyses were performed in DuckDB SQL on the MotherDuck publication database; reproduction code is provided in the supplement.</w:t>
      </w:r>
    </w:p>
    <w:p>
      <w:pPr>
        <w:spacing w:before="240" w:after="120" w:line="276" w:lineRule="auto"/>
      </w:pPr>
      <w:r>
        <w:rPr>
          <w:rFonts w:ascii="Times New Roman" w:hAnsi="Times New Roman"/>
          <w:b/>
          <w:sz w:val="28"/>
        </w:rPr>
        <w:t>Results</w:t>
      </w:r>
    </w:p>
    <w:p>
      <w:pPr>
        <w:spacing w:before="160" w:after="120" w:line="276" w:lineRule="auto"/>
      </w:pPr>
      <w:r>
        <w:rPr>
          <w:rFonts w:ascii="Times New Roman" w:hAnsi="Times New Roman"/>
          <w:b/>
          <w:sz w:val="24"/>
        </w:rPr>
        <w:t>Cohort assembly and baseline characteristics</w:t>
      </w:r>
    </w:p>
    <w:p>
      <w:pPr>
        <w:spacing w:before="0" w:after="120" w:line="360" w:lineRule="auto"/>
      </w:pPr>
      <w:r>
        <w:rPr>
          <w:rFonts w:ascii="Times New Roman" w:hAnsi="Times New Roman"/>
          <w:b w:val="0"/>
          <w:i w:val="0"/>
          <w:sz w:val="22"/>
        </w:rPr>
        <w:t>Of 10,871 unique research IDs in the institutional thyroid surgical warehouse, 3,375 patients met inclusion criteria for the primary patient-level analysis. The cohort was 79.7% female (n=2,691); 45.5% Black or African American (n=1,535), 40.9% White (n=1,382), 6.0% Asian (n=204), and 4.9% (n=165) self-reported as Unknown or Not Reported. Median age at surgery was 53 years and median surgery year was 2021 (range 1994–2025). The overall pathology-proven malignancy rate was 43.8% (n=1,479).</w:t>
      </w:r>
    </w:p>
    <w:p>
      <w:pPr>
        <w:spacing w:before="0" w:after="120" w:line="360" w:lineRule="auto"/>
      </w:pPr>
      <w:r>
        <w:rPr>
          <w:rFonts w:ascii="Times New Roman" w:hAnsi="Times New Roman"/>
          <w:b w:val="0"/>
          <w:i w:val="0"/>
          <w:sz w:val="22"/>
        </w:rPr>
        <w:t>Distribution by maximum TI-RADS category was: TR1 n=340 (10.07%), TR2 n=299 (8.86%), TR3 n=845 (25.04%), TR4 n=492 (14.58%), TR5 n=1,399 (41.45%). Bethesda FNA results were available for 2,380 patients (70.5%); operative pathology histology was available for 1,538 patients (45.6%); the remainder underwent surgery for benign indications (Table 1).</w:t>
      </w:r>
    </w:p>
    <w:p>
      <w:pPr>
        <w:spacing w:before="0" w:after="120" w:line="360" w:lineRule="auto"/>
      </w:pPr>
      <w:r>
        <w:rPr>
          <w:rFonts w:ascii="Times New Roman" w:hAnsi="Times New Roman"/>
          <w:b w:val="0"/>
          <w:i w:val="0"/>
          <w:sz w:val="22"/>
        </w:rPr>
        <w:t>By era, 422 patients (12.5%) had pre-2017 surgery (overall ROM 40.0%) and 2,953 had post-2017 surgery (44.4%). By number of ultrasound exams per patient, 1,570 (46.5%) had a single exam (ROM 35.2%), 942 (27.9%) had two to three exams (ROM 53.0%), and 863 (25.6%) had four or more exams (ROM 49.6%)—consistent with multi-exam patients accumulating attribution to higher TR categories.</w:t>
      </w:r>
    </w:p>
    <w:p>
      <w:pPr>
        <w:spacing w:before="0" w:after="120" w:line="360" w:lineRule="auto"/>
      </w:pPr>
      <w:r>
        <w:rPr>
          <w:rFonts w:ascii="Times New Roman" w:hAnsi="Times New Roman"/>
          <w:b w:val="0"/>
          <w:i/>
          <w:sz w:val="22"/>
        </w:rPr>
        <w:t>[INSERT TABLE 1 HERE — see separate Tables document]</w:t>
      </w:r>
    </w:p>
    <w:p>
      <w:pPr>
        <w:spacing w:before="0" w:after="120" w:line="360" w:lineRule="auto"/>
      </w:pPr>
      <w:r>
        <w:rPr>
          <w:rFonts w:ascii="Times New Roman" w:hAnsi="Times New Roman"/>
          <w:b w:val="0"/>
          <w:i/>
          <w:sz w:val="22"/>
        </w:rPr>
        <w:t>[INSERT FIGURE 1 HERE — Cohort flow diagram]</w:t>
      </w:r>
    </w:p>
    <w:p>
      <w:pPr>
        <w:spacing w:before="160" w:after="120" w:line="276" w:lineRule="auto"/>
      </w:pPr>
      <w:r>
        <w:rPr>
          <w:rFonts w:ascii="Times New Roman" w:hAnsi="Times New Roman"/>
          <w:b/>
          <w:sz w:val="24"/>
        </w:rPr>
        <w:t>Patient-level diagnostic performance</w:t>
      </w:r>
    </w:p>
    <w:p>
      <w:pPr>
        <w:spacing w:before="0" w:after="120" w:line="360" w:lineRule="auto"/>
      </w:pPr>
      <w:r>
        <w:rPr>
          <w:rFonts w:ascii="Times New Roman" w:hAnsi="Times New Roman"/>
          <w:b w:val="0"/>
          <w:i w:val="0"/>
          <w:sz w:val="22"/>
        </w:rPr>
        <w:t>Patient-level discrimination of ACR TI-RADS for thyroid malignancy in the operative cohort was modest: AUC 0.648 (95% CI 0.630–0.667). Diagnostic performance at the three pre-specified thresholds is summarized in Table 2.</w:t>
      </w:r>
    </w:p>
    <w:p>
      <w:pPr>
        <w:spacing w:before="0" w:after="120" w:line="360" w:lineRule="auto"/>
      </w:pPr>
      <w:r>
        <w:rPr>
          <w:rFonts w:ascii="Times New Roman" w:hAnsi="Times New Roman"/>
          <w:b w:val="0"/>
          <w:i w:val="0"/>
          <w:sz w:val="22"/>
        </w:rPr>
        <w:t>At TR≥TR3, sensitivity was 87.0% (95% CI 85.2–88.6%) and specificity 23.6% (21.7–25.5%); PPV 47.0% and NPV 70.0%. At TR≥TR4—the Youden-optimal threshold (J=0.271)—sensitivity was 71.3% (68.9–73.5%), specificity 55.9% (53.6–58.1%), PPV 55.7% (53.5–58.0%), and NPV 71.4% (69.0–73.6%). At TR≥TR5, sensitivity was 55.5% (53.0–58.0%) and specificity 69.5% (67.4–71.6%); PPV 58.7%, NPV 66.7%.</w:t>
      </w:r>
    </w:p>
    <w:p>
      <w:pPr>
        <w:spacing w:before="0" w:after="120" w:line="360" w:lineRule="auto"/>
      </w:pPr>
      <w:r>
        <w:rPr>
          <w:rFonts w:ascii="Times New Roman" w:hAnsi="Times New Roman"/>
          <w:b w:val="0"/>
          <w:i w:val="0"/>
          <w:sz w:val="22"/>
        </w:rPr>
        <w:t>Applying ACR 2017 size-based FNA-eligibility rules retrospectively flagged 1,553 patients as having undergone unnecessary FNA and identified 472 patients with cancers below the FNA threshold (true false-negatives of the ACR rule).</w:t>
      </w:r>
    </w:p>
    <w:p>
      <w:pPr>
        <w:spacing w:before="0" w:after="120" w:line="360" w:lineRule="auto"/>
      </w:pPr>
      <w:r>
        <w:rPr>
          <w:rFonts w:ascii="Times New Roman" w:hAnsi="Times New Roman"/>
          <w:b w:val="0"/>
          <w:i/>
          <w:sz w:val="22"/>
        </w:rPr>
        <w:t>[INSERT FIGURE 2 HERE — Patient-level ROC curve]</w:t>
      </w:r>
    </w:p>
    <w:p>
      <w:pPr>
        <w:spacing w:before="160" w:after="120" w:line="276" w:lineRule="auto"/>
      </w:pPr>
      <w:r>
        <w:rPr>
          <w:rFonts w:ascii="Times New Roman" w:hAnsi="Times New Roman"/>
          <w:b/>
          <w:sz w:val="24"/>
        </w:rPr>
        <w:t>Risk of malignancy by TI-RADS category and ACR-expected calibration</w:t>
      </w:r>
    </w:p>
    <w:p>
      <w:pPr>
        <w:spacing w:before="0" w:after="120" w:line="360" w:lineRule="auto"/>
      </w:pPr>
      <w:r>
        <w:rPr>
          <w:rFonts w:ascii="Times New Roman" w:hAnsi="Times New Roman"/>
          <w:b w:val="0"/>
          <w:i w:val="0"/>
          <w:sz w:val="22"/>
        </w:rPr>
        <w:t>Patient-level ROM substantially exceeded ACR-published expected ranges at TR1–TR4 (Table 3, Figure 3). Per-category patient ROM was 28.2% at TR1 (95% CI 23.7–33.2), 32.1% at TR2 (27.1–37.6), 27.6% at TR3 (24.7–30.7), 47.4% at TR4 (43.0–51.8), and 58.7% at TR5 (56.1–61.2). Only TR5 fell within the ACR-expected band (&gt;20%). The directional monotonicity from TR3 to TR4 to TR5 was preserved, but absolute magnitudes were elevated by approximately 18 to 30 percentage points relative to ACR expectation at TR3 and TR4. These category-specific magnitudes are consistent with prior operative-cohort validations.⁷⁻¹⁰,¹³</w:t>
      </w:r>
    </w:p>
    <w:p>
      <w:pPr>
        <w:spacing w:before="0" w:after="120" w:line="360" w:lineRule="auto"/>
      </w:pPr>
      <w:r>
        <w:rPr>
          <w:rFonts w:ascii="Times New Roman" w:hAnsi="Times New Roman"/>
          <w:b w:val="0"/>
          <w:i/>
          <w:sz w:val="22"/>
        </w:rPr>
        <w:t>[INSERT FIGURE 3 HERE — Patient-level ROM bars with ACR bands]</w:t>
      </w:r>
    </w:p>
    <w:p>
      <w:pPr>
        <w:spacing w:before="160" w:after="120" w:line="276" w:lineRule="auto"/>
      </w:pPr>
      <w:r>
        <w:rPr>
          <w:rFonts w:ascii="Times New Roman" w:hAnsi="Times New Roman"/>
          <w:b/>
          <w:sz w:val="24"/>
        </w:rPr>
        <w:t>Sister nodule-level analysis: ACR-expected calibration restored</w:t>
      </w:r>
    </w:p>
    <w:p>
      <w:pPr>
        <w:spacing w:before="0" w:after="120" w:line="360" w:lineRule="auto"/>
      </w:pPr>
      <w:r>
        <w:rPr>
          <w:rFonts w:ascii="Times New Roman" w:hAnsi="Times New Roman"/>
          <w:b w:val="0"/>
          <w:i w:val="0"/>
          <w:sz w:val="22"/>
        </w:rPr>
        <w:t>Re-analyzing the same data at the nodule grain (n=3,687 strict ACR-eligible nodules from 1,668 patients; 631 path-malignant) recovered ACR-expected calibration at TR4 and TR5 (Table 3). Per-nodule ROM was 12.9% at TR2 (n=31), 9.1% at TR3 (95% CI 7.8–10.7; n=1,555), 18.7% at TR4 (95% CI 16.3–21.5; n=860), and 26.1% at TR5 (95% CI 23.7–28.6; n=1,241). TR4 and TR5 fall squarely within ACR-published expected bands (TR4 5–20%; TR5 &gt;20%); TR3 (9.1%) modestly exceeded the &lt;5% ACR band but was substantially closer to expectation than the patient-grain estimate. Discrimination was preserved (per-nodule AUC 0.640 versus patient AUC 0.648). Per-nodule diagnostic performance at TR≥TR4 was sensitivity 76.9%, specificity 47.1%, PPV 23.1%, NPV 90.8%.</w:t>
      </w:r>
    </w:p>
    <w:p>
      <w:pPr>
        <w:spacing w:before="0" w:after="120" w:line="360" w:lineRule="auto"/>
      </w:pPr>
      <w:r>
        <w:rPr>
          <w:rFonts w:ascii="Times New Roman" w:hAnsi="Times New Roman"/>
          <w:b w:val="0"/>
          <w:i w:val="0"/>
          <w:sz w:val="22"/>
        </w:rPr>
        <w:t>The percentage-point divergence between patient and nodule grain (Table 3) was +18.4 pp at TR3, +28.6 pp at TR4, and +32.6 pp at TR5—the quantitative magnitude of multinodular attribution error in this cohort.</w:t>
      </w:r>
    </w:p>
    <w:p>
      <w:pPr>
        <w:spacing w:before="0" w:after="120" w:line="360" w:lineRule="auto"/>
      </w:pPr>
      <w:r>
        <w:rPr>
          <w:rFonts w:ascii="Times New Roman" w:hAnsi="Times New Roman"/>
          <w:b w:val="0"/>
          <w:i/>
          <w:sz w:val="22"/>
        </w:rPr>
        <w:t>[INSERT FIGURE 3b HERE — Patient vs nodule paired bars]</w:t>
      </w:r>
    </w:p>
    <w:p>
      <w:pPr>
        <w:spacing w:before="160" w:after="120" w:line="276" w:lineRule="auto"/>
      </w:pPr>
      <w:r>
        <w:rPr>
          <w:rFonts w:ascii="Times New Roman" w:hAnsi="Times New Roman"/>
          <w:b/>
          <w:sz w:val="24"/>
        </w:rPr>
        <w:t>Bethesda × TI-RADS cross-stratification</w:t>
      </w:r>
    </w:p>
    <w:p>
      <w:pPr>
        <w:spacing w:before="0" w:after="120" w:line="360" w:lineRule="auto"/>
      </w:pPr>
      <w:r>
        <w:rPr>
          <w:rFonts w:ascii="Times New Roman" w:hAnsi="Times New Roman"/>
          <w:b w:val="0"/>
          <w:i w:val="0"/>
          <w:sz w:val="22"/>
        </w:rPr>
        <w:t>Patient-level Bethesda distribution among the 2,380 patients with cytology was: I (nondiagnostic) n=88 (ROM 29.5%), II (benign) n=897 (16.2%), III (AUS) n=403 (48.4%), IV (FN/SFN) n=275 (51.6%), V (suspicious) n=129 (89.9%), and VI (malignant) n=588 (83.7%); 995 patients (29.5%) had no Bethesda result on file. The Bethesda × TR contingency at the strict nodule level (Table 4) shows the expected concordance pattern.</w:t>
      </w:r>
    </w:p>
    <w:p>
      <w:pPr>
        <w:spacing w:before="0" w:after="120" w:line="360" w:lineRule="auto"/>
      </w:pPr>
      <w:r>
        <w:rPr>
          <w:rFonts w:ascii="Times New Roman" w:hAnsi="Times New Roman"/>
          <w:b w:val="0"/>
          <w:i/>
          <w:sz w:val="22"/>
        </w:rPr>
        <w:t>[INSERT TABLE 4 HERE]</w:t>
      </w:r>
    </w:p>
    <w:p>
      <w:pPr>
        <w:spacing w:before="160" w:after="120" w:line="276" w:lineRule="auto"/>
      </w:pPr>
      <w:r>
        <w:rPr>
          <w:rFonts w:ascii="Times New Roman" w:hAnsi="Times New Roman"/>
          <w:b/>
          <w:sz w:val="24"/>
        </w:rPr>
        <w:t>FNA-eligibility audit and unnecessary biopsy analysis</w:t>
      </w:r>
    </w:p>
    <w:p>
      <w:pPr>
        <w:spacing w:before="0" w:after="120" w:line="360" w:lineRule="auto"/>
      </w:pPr>
      <w:r>
        <w:rPr>
          <w:rFonts w:ascii="Times New Roman" w:hAnsi="Times New Roman"/>
          <w:b w:val="0"/>
          <w:i w:val="0"/>
          <w:sz w:val="22"/>
        </w:rPr>
        <w:t>Applying the ACR 2017 size-based FNA-eligibility rules retrospectively in this cohort identified 1,553 FNAs that would not have been recommended by ACR criteria (46.0% of all FNAs in the cohort) and 472 cancers (15.0% of all malignant patients) below the ACR FNA-eligibility threshold for their TR-size combination. This false-negative pattern is concentrated in TR3 small nodules and TR4 sub-1.5 cm nodules.¹⁴</w:t>
      </w:r>
    </w:p>
    <w:p>
      <w:pPr>
        <w:spacing w:before="0" w:after="120" w:line="360" w:lineRule="auto"/>
      </w:pPr>
      <w:r>
        <w:rPr>
          <w:rFonts w:ascii="Times New Roman" w:hAnsi="Times New Roman"/>
          <w:b w:val="0"/>
          <w:i/>
          <w:sz w:val="22"/>
        </w:rPr>
        <w:t>[INSERT FIGURE 4 HERE]</w:t>
      </w:r>
    </w:p>
    <w:p>
      <w:pPr>
        <w:spacing w:before="160" w:after="120" w:line="276" w:lineRule="auto"/>
      </w:pPr>
      <w:r>
        <w:rPr>
          <w:rFonts w:ascii="Times New Roman" w:hAnsi="Times New Roman"/>
          <w:b/>
          <w:sz w:val="24"/>
        </w:rPr>
        <w:t>Era subset and time-window sensitivity</w:t>
      </w:r>
    </w:p>
    <w:p>
      <w:pPr>
        <w:spacing w:before="0" w:after="120" w:line="360" w:lineRule="auto"/>
      </w:pPr>
      <w:r>
        <w:rPr>
          <w:rFonts w:ascii="Times New Roman" w:hAnsi="Times New Roman"/>
          <w:b w:val="0"/>
          <w:i w:val="0"/>
          <w:sz w:val="22"/>
        </w:rPr>
        <w:t>Pre-specified era subset analysis split the cohort at 2017-05-01 (ACR TI-RADS 2017 publication date).³ At the patient grain, 422 patients had pre-2017 surgery (40.0% malignant) and 2,953 had post-2017 surgery (44.4% malignant); per-TR patient-level ROM was directionally similar across eras (Supplementary Table S2). At the nodule strict-eligible grain, restricting to the post-ACR-2017 era reproduced the manuscript headline: per-nodule TR4 ROM 18.0% and TR5 ROM 24.4%, both within the ACR-expected bands. Pre-2017 strict-nodule ROMs were higher (TR4 24.7%, n=89; TR5 41.6%, n=125).</w:t>
      </w:r>
    </w:p>
    <w:p>
      <w:pPr>
        <w:spacing w:before="0" w:after="120" w:line="360" w:lineRule="auto"/>
      </w:pPr>
      <w:r>
        <w:rPr>
          <w:rFonts w:ascii="Times New Roman" w:hAnsi="Times New Roman"/>
          <w:b w:val="0"/>
          <w:i w:val="0"/>
          <w:sz w:val="22"/>
        </w:rPr>
        <w:t>Pre-specified time-window sensitivity at the nodule strict grain (Supplementary Table S3) tightened the ultrasound-to-surgery match from the primary 365-day window to 180, 90, and 30 days. At 180 days, per-TR ROM was TR3 7.4%, TR4 15.7%, and TR5 22.2%—the ACR-expected calibration finding is preserved. Median ultrasound-to-malignant-surgery interval was 27 days at TR2, 77 days at TR3, 73 days at TR4, and 58 days at TR5.</w:t>
      </w:r>
    </w:p>
    <w:p>
      <w:pPr>
        <w:spacing w:before="160" w:after="120" w:line="276" w:lineRule="auto"/>
      </w:pPr>
      <w:r>
        <w:rPr>
          <w:rFonts w:ascii="Times New Roman" w:hAnsi="Times New Roman"/>
          <w:b/>
          <w:sz w:val="24"/>
        </w:rPr>
        <w:t>Subgroup and sensitivity analyses</w:t>
      </w:r>
    </w:p>
    <w:p>
      <w:pPr>
        <w:spacing w:before="0" w:after="120" w:line="360" w:lineRule="auto"/>
      </w:pPr>
      <w:r>
        <w:rPr>
          <w:rFonts w:ascii="Times New Roman" w:hAnsi="Times New Roman"/>
          <w:b w:val="0"/>
          <w:i w:val="0"/>
          <w:sz w:val="22"/>
        </w:rPr>
        <w:t>Subgroup analyses by sex, age band, and histology category preserved both the modest discrimination and the patient-level ROM pattern (Supplementary Table S4). Pre-specified sensitivity arms at the nodule grain (Supplementary Table S1) directionally supported the primary findings: relaxed-feature-completeness (S1A, n=15,309 nodules) yielded TR4 ROM ~23%; single-nodule patients (S1C, n=782) showed TR4 ROM 30.7% and TR5 34.9%; unilateral-path-only matching (S1D) yielded TR4 8.5% and TR5 10.7%. The Bethesda-II false-negative audit identified 13/360 (3.6%) as true false-negative cytology candidates; the remainder were classifiable as multinodular attribution (n=21), coverage gaps (n=173), or path-bridge timing artifacts (n=12).</w:t>
      </w:r>
    </w:p>
    <w:p>
      <w:pPr>
        <w:spacing w:before="0" w:after="120" w:line="360" w:lineRule="auto"/>
      </w:pPr>
      <w:r>
        <w:rPr>
          <w:rFonts w:ascii="Times New Roman" w:hAnsi="Times New Roman"/>
          <w:b w:val="0"/>
          <w:i/>
          <w:sz w:val="22"/>
        </w:rPr>
        <w:t>[INSERT FIGURE 5 HERE]</w:t>
      </w:r>
    </w:p>
    <w:p>
      <w:pPr>
        <w:spacing w:before="240" w:after="120" w:line="276" w:lineRule="auto"/>
      </w:pPr>
      <w:r>
        <w:rPr>
          <w:rFonts w:ascii="Times New Roman" w:hAnsi="Times New Roman"/>
          <w:b/>
          <w:sz w:val="28"/>
        </w:rPr>
        <w:t>Discussion</w:t>
      </w:r>
    </w:p>
    <w:p>
      <w:pPr>
        <w:spacing w:before="160" w:after="120" w:line="276" w:lineRule="auto"/>
      </w:pPr>
      <w:r>
        <w:rPr>
          <w:rFonts w:ascii="Times New Roman" w:hAnsi="Times New Roman"/>
          <w:b/>
          <w:sz w:val="24"/>
        </w:rPr>
        <w:t>Principal findings</w:t>
      </w:r>
    </w:p>
    <w:p>
      <w:pPr>
        <w:spacing w:before="0" w:after="120" w:line="360" w:lineRule="auto"/>
      </w:pPr>
      <w:r>
        <w:rPr>
          <w:rFonts w:ascii="Times New Roman" w:hAnsi="Times New Roman"/>
          <w:b w:val="0"/>
          <w:i w:val="0"/>
          <w:sz w:val="22"/>
        </w:rPr>
        <w:t>In a contemporary 25-year single-institution operative thyroid cohort of 3,375 patients, ACR TI-RADS provided modest discrimination for thyroid malignancy (AUC 0.648, 95% CI 0.630–0.667), with TR≥TR4 as the Youden-optimal clinical threshold (J=0.271; sensitivity 71.3%, specificity 55.9%). Per-category patient-level ROM substantially exceeded the ACR 2017 expected bands at TR1–TR4. A pre-specified nodule-level reanalysis of the same cohort (n=3,687 strict-ACR feature-complete nodules) recovered ACR-expected calibration at TR4 (18.7%) and TR5 (26.1%), demonstrating that multinodular attribution error explains a substantial fraction of operative-cohort ROM elevation that has historically been attributed to selection bias alone. The quantified divergence (TR4 +28.7 pp, TR5 +32.6 pp) directly measures the inflation introduced when a multinodular patient's malignancy is credited to the maximum TR observed at any nodule on any preoperative exam.</w:t>
      </w:r>
    </w:p>
    <w:p>
      <w:pPr>
        <w:spacing w:before="160" w:after="120" w:line="276" w:lineRule="auto"/>
      </w:pPr>
      <w:r>
        <w:rPr>
          <w:rFonts w:ascii="Times New Roman" w:hAnsi="Times New Roman"/>
          <w:b/>
          <w:sz w:val="24"/>
        </w:rPr>
        <w:t>Comparison with prior literature</w:t>
      </w:r>
    </w:p>
    <w:p>
      <w:pPr>
        <w:spacing w:before="0" w:after="120" w:line="360" w:lineRule="auto"/>
      </w:pPr>
      <w:r>
        <w:rPr>
          <w:rFonts w:ascii="Times New Roman" w:hAnsi="Times New Roman"/>
          <w:b w:val="0"/>
          <w:i w:val="0"/>
          <w:sz w:val="22"/>
        </w:rPr>
        <w:t>Our patient-level discrimination AUC (0.648) is in line with the published range for operative-cohort TI-RADS validations, which has reported sensitivity 51.6–100% and specificity 38.1–92.8% across 25 cohorts depending on threshold and population.⁷⁻¹⁴ Our patient-level per-category ROMs at TR3 (27.6%), TR4 (47.4%), and TR5 (58.7%) align with the operative-cohort literature, in which TR5 ROMs ranged from 40% to 100% (most studies 80–92%); TR4 from 13% to 60%; and TR3 from 0% to 43%.⁷,⁸,¹⁰⁻¹³ Examples include Gao and colleagues (2019), who reported overall ROM of 66.1% and TR5 ROM of 88.8% in a 1,758-patient operative series,⁷ and Sarayu and colleagues (2025), whose prospective consecutive enrollment design produced overall ROM of 12.5%—closely approximating screening expectations.¹⁴ The category-specific divergence between operative-cohort findings and the ACR 2017 calibration has previously been attributed almost entirely to selection bias; only 8% of these surgical-cohort validations explicitly acknowledge that bias, and none to our knowledge has formally quantified an alternative attribution-error contribution.¹⁴</w:t>
      </w:r>
    </w:p>
    <w:p>
      <w:pPr>
        <w:spacing w:before="0" w:after="120" w:line="360" w:lineRule="auto"/>
      </w:pPr>
      <w:r>
        <w:rPr>
          <w:rFonts w:ascii="Times New Roman" w:hAnsi="Times New Roman"/>
          <w:b w:val="0"/>
          <w:i w:val="0"/>
          <w:sz w:val="22"/>
        </w:rPr>
        <w:t>The novel contribution of this work is the matched per-nodule reanalysis: TR4 (18.7%) and TR5 (26.1%) land squarely within ACR-expected bands when the same cohort is analyzed at the nodule grain that ACR 2017 was originally calibrated against. The per-nodule discrimination (AUC 0.640) is essentially identical to the patient-grain figure, confirming that the recovered calibration is not a discrimination artifact but a denominator-attribution effect.</w:t>
      </w:r>
    </w:p>
    <w:p>
      <w:pPr>
        <w:spacing w:before="160" w:after="120" w:line="276" w:lineRule="auto"/>
      </w:pPr>
      <w:r>
        <w:rPr>
          <w:rFonts w:ascii="Times New Roman" w:hAnsi="Times New Roman"/>
          <w:b/>
          <w:sz w:val="24"/>
        </w:rPr>
        <w:t>Multinodular attribution error</w:t>
      </w:r>
    </w:p>
    <w:p>
      <w:pPr>
        <w:spacing w:before="0" w:after="120" w:line="360" w:lineRule="auto"/>
      </w:pPr>
      <w:r>
        <w:rPr>
          <w:rFonts w:ascii="Times New Roman" w:hAnsi="Times New Roman"/>
          <w:b w:val="0"/>
          <w:i w:val="0"/>
          <w:sz w:val="22"/>
        </w:rPr>
        <w:t>When a multinodular patient is collapsed to a single max-TR category, all path-proven malignancies in that patient are credited to that category, even when the malignant nodule is not the highest-TR lesion. The numerical magnitude of this attribution at patient grain in our cohort is +28.6 pp at TR4 and +32.6 pp at TR5. This is consistent with a cohort in which many operative patients have multiple ultrasound-detectable nodules (median 2.7 nodules per patient) and in which approximately 61% of malignant patients have multifocal disease. The single-nodule sensitivity arm (S1C) provides supporting evidence: when restricted to patients with exactly one ultrasound nodule, per-patient TR4 ROM (30.7%) and TR5 ROM (34.9%) remain elevated above ACR bands but to a markedly lesser degree than the overall patient-grain estimates, reflecting the residual contribution of selection independent of multinodular attribution.</w:t>
      </w:r>
    </w:p>
    <w:p>
      <w:pPr>
        <w:spacing w:before="0" w:after="120" w:line="360" w:lineRule="auto"/>
      </w:pPr>
      <w:r>
        <w:rPr>
          <w:rFonts w:ascii="Times New Roman" w:hAnsi="Times New Roman"/>
          <w:b w:val="0"/>
          <w:i w:val="0"/>
          <w:sz w:val="22"/>
        </w:rPr>
        <w:t>The implication for the published literature is direct: operative-cohort TI-RADS validation studies should report per-nodule ROM in addition to or in place of per-patient ROM to permit valid comparison with the ACR 2017 calibration, which was derived from per-nodule denominators.</w:t>
      </w:r>
    </w:p>
    <w:p>
      <w:pPr>
        <w:spacing w:before="160" w:after="120" w:line="276" w:lineRule="auto"/>
      </w:pPr>
      <w:r>
        <w:rPr>
          <w:rFonts w:ascii="Times New Roman" w:hAnsi="Times New Roman"/>
          <w:b/>
          <w:sz w:val="24"/>
        </w:rPr>
        <w:t>Implications for clinical TI-RADS practice</w:t>
      </w:r>
    </w:p>
    <w:p>
      <w:pPr>
        <w:spacing w:before="0" w:after="120" w:line="360" w:lineRule="auto"/>
      </w:pPr>
      <w:r>
        <w:rPr>
          <w:rFonts w:ascii="Times New Roman" w:hAnsi="Times New Roman"/>
          <w:b w:val="0"/>
          <w:i w:val="0"/>
          <w:sz w:val="22"/>
        </w:rPr>
        <w:t>The clinical decision to recommend FNA versus surveillance in a TI-RADS-categorized nodule is necessarily made at the nodule grain. Validation studies that report only patient-level ROM systematically overstate operative-cohort risk relative to the denominator that drives clinical decision-making. Our findings support reporting per-nodule ROM in TI-RADS validation studies and reinforce the original ACR 2017 calibration as approximately accurate at the strictly-eligible per-nodule level in operative cohorts.</w:t>
      </w:r>
    </w:p>
    <w:p>
      <w:pPr>
        <w:spacing w:before="0" w:after="120" w:line="360" w:lineRule="auto"/>
      </w:pPr>
      <w:r>
        <w:rPr>
          <w:rFonts w:ascii="Times New Roman" w:hAnsi="Times New Roman"/>
          <w:b w:val="0"/>
          <w:i w:val="0"/>
          <w:sz w:val="22"/>
        </w:rPr>
        <w:t>Retrospective application of ACR 2017 FNA-eligibility rules in our cohort flagged 1,553 unnecessary FNAs (46.0% of FNAs performed) but missed 472 cancers (15.0% of malignancies) below the ACR threshold. This false-negative rate must be interpreted in the operative-cohort context: many of these 472 patients were brought to surgery for incidental, surveillance, or compressive indications, not because of an FNA-positive result.</w:t>
      </w:r>
    </w:p>
    <w:p>
      <w:pPr>
        <w:spacing w:before="160" w:after="120" w:line="276" w:lineRule="auto"/>
      </w:pPr>
      <w:r>
        <w:rPr>
          <w:rFonts w:ascii="Times New Roman" w:hAnsi="Times New Roman"/>
          <w:b/>
          <w:sz w:val="24"/>
        </w:rPr>
        <w:t>Methodological strengths</w:t>
      </w:r>
    </w:p>
    <w:p>
      <w:pPr>
        <w:spacing w:before="0" w:after="120" w:line="360" w:lineRule="auto"/>
      </w:pPr>
      <w:r>
        <w:rPr>
          <w:rFonts w:ascii="Times New Roman" w:hAnsi="Times New Roman"/>
          <w:b w:val="0"/>
          <w:i w:val="0"/>
          <w:sz w:val="22"/>
        </w:rPr>
        <w:t>Strengths include: (1) a 25-year single-institution operative cohort with consistent surgical-pathology adjudication; (2) a racially diverse patient population (45.5% Black or African American, 40.9% White, 6.0% Asian), enhancing external generalizability beyond predominantly White cohorts that dominate the existing literature; (3) explicit pre-specified nodule-level sister analysis using a strict ACR 2017 feature-complete subset; (4) Wilson 95% CIs for all proportions and rank-based AUC; (5) a uniformly-applied ACR 2017 re-scoring across the entire cohort era—a parallel-application/retrospective re-classification harmonization strategy consistent with current best practice in longitudinal classification-system research,¹⁵ with 99.3% of strict-eligible nodules drawn from the structured imaging_nodule_master_v1 source rather than LLM-augmented; (6) a Bethesda-II false-negative audit that quantifies the true-FN cytology rate at 3.6%; and (7) open-source reproduction code and locked DuckDB queries.</w:t>
      </w:r>
    </w:p>
    <w:p>
      <w:pPr>
        <w:spacing w:before="160" w:after="120" w:line="276" w:lineRule="auto"/>
      </w:pPr>
      <w:r>
        <w:rPr>
          <w:rFonts w:ascii="Times New Roman" w:hAnsi="Times New Roman"/>
          <w:b/>
          <w:sz w:val="24"/>
        </w:rPr>
        <w:t>Limitations</w:t>
      </w:r>
    </w:p>
    <w:p>
      <w:pPr>
        <w:spacing w:before="0" w:after="120" w:line="360" w:lineRule="auto"/>
      </w:pPr>
      <w:r>
        <w:rPr>
          <w:rFonts w:ascii="Times New Roman" w:hAnsi="Times New Roman"/>
          <w:b w:val="0"/>
          <w:i w:val="0"/>
          <w:sz w:val="22"/>
        </w:rPr>
        <w:t>First, the operative cohort restricts inference to surgically resected patients; non-operative TI-RADS-stratified surveillance cohorts at the same institution were not analyzed. Second, the strict-eligibility gate excluded approximately 89% of all nodules and 93% of pre-2017 nodules; the relaxed-gate Sensitivity Arm S1A (n=15,309) is reported in Supplementary Table S1 to bound this effect. Third, the same-side ≤365-day match window allows two forms of temporal mismatch (interval growth and multifocal disease ascertainment); the pre-specified 180/90/30-day sensitivity (Supplementary Table S3) shows the ACR-expected calibration at TR4 (15.7%) and TR5 (22.2%) holds at the 180-day window. Fourth, per-nodule FNA size is not yet linked at the nodule grain (carry-forward CF-FNA-SIZE-CM-NULL), limiting per-nodule size-aware ACR FNA-compliance analysis to the patient grain. Fifth, Bethesda coverage at the patient level is 70.5%; patients without FNA were brought directly to surgery on imaging criteria. Sixth, institutional pathology referent uses WHO 2022 classification; results may not generalize to centers using older WHO classifications without reclassification of FT-UMP and NIFTP. Finally, no prospective external validation cohort is yet available.</w:t>
      </w:r>
    </w:p>
    <w:p>
      <w:pPr>
        <w:spacing w:before="240" w:after="120" w:line="276" w:lineRule="auto"/>
      </w:pPr>
      <w:r>
        <w:rPr>
          <w:rFonts w:ascii="Times New Roman" w:hAnsi="Times New Roman"/>
          <w:b/>
          <w:sz w:val="28"/>
        </w:rPr>
        <w:t>Conclusions</w:t>
      </w:r>
    </w:p>
    <w:p>
      <w:pPr>
        <w:spacing w:before="0" w:after="120" w:line="360" w:lineRule="auto"/>
      </w:pPr>
      <w:r>
        <w:rPr>
          <w:rFonts w:ascii="Times New Roman" w:hAnsi="Times New Roman"/>
          <w:b w:val="0"/>
          <w:i w:val="0"/>
          <w:sz w:val="22"/>
        </w:rPr>
        <w:t>In a 25-year single-institution operative thyroid cohort, ACR TI-RADS provides modest discrimination (AUC 0.648) with TR≥TR4 as the Youden-optimal clinical threshold. Per-category patient-level ROM substantially exceeds the ACR-expected bands at TR1–TR4, but a pre-specified per-nodule reanalysis of the same data recovers ACR-expected calibration at TR4 (18.7%) and TR5 (26.1%). Approximately 29 to 33 percentage points of apparent operative-cohort ROM elevation reflects multinodular attribution error at patient grain rather than pure selection bias. Future operative-cohort TI-RADS validations should report per-nodule ROM to permit direct comparison with the ACR 2017 calibration.</w:t>
      </w:r>
    </w:p>
    <w:p>
      <w:pPr>
        <w:spacing w:before="240" w:after="120" w:line="276" w:lineRule="auto"/>
      </w:pPr>
      <w:r>
        <w:rPr>
          <w:rFonts w:ascii="Times New Roman" w:hAnsi="Times New Roman"/>
          <w:b/>
          <w:sz w:val="28"/>
        </w:rPr>
        <w:t>Acknowledgments</w:t>
      </w:r>
    </w:p>
    <w:p>
      <w:pPr>
        <w:spacing w:before="0" w:after="120" w:line="360" w:lineRule="auto"/>
      </w:pPr>
      <w:r>
        <w:rPr>
          <w:rFonts w:ascii="Times New Roman" w:hAnsi="Times New Roman"/>
          <w:b w:val="0"/>
          <w:i/>
          <w:sz w:val="22"/>
        </w:rPr>
        <w:t>[TODO: Confirm with senior author.]</w:t>
      </w:r>
    </w:p>
    <w:p>
      <w:pPr>
        <w:spacing w:before="240" w:after="120" w:line="276" w:lineRule="auto"/>
      </w:pPr>
      <w:r>
        <w:rPr>
          <w:rFonts w:ascii="Times New Roman" w:hAnsi="Times New Roman"/>
          <w:b/>
          <w:sz w:val="28"/>
        </w:rPr>
        <w:t>Funding</w:t>
      </w:r>
    </w:p>
    <w:p>
      <w:pPr>
        <w:spacing w:before="0" w:after="120" w:line="360" w:lineRule="auto"/>
      </w:pPr>
      <w:r>
        <w:rPr>
          <w:rFonts w:ascii="Times New Roman" w:hAnsi="Times New Roman"/>
          <w:b w:val="0"/>
          <w:i/>
          <w:sz w:val="22"/>
        </w:rPr>
        <w:t>[TODO: Confirm.] No external funding was received for this work.</w:t>
      </w:r>
    </w:p>
    <w:p>
      <w:pPr>
        <w:spacing w:before="240" w:after="120" w:line="276" w:lineRule="auto"/>
      </w:pPr>
      <w:r>
        <w:rPr>
          <w:rFonts w:ascii="Times New Roman" w:hAnsi="Times New Roman"/>
          <w:b/>
          <w:sz w:val="28"/>
        </w:rPr>
        <w:t>Conflicts of Interest</w:t>
      </w:r>
    </w:p>
    <w:p>
      <w:pPr>
        <w:spacing w:before="0" w:after="120" w:line="360" w:lineRule="auto"/>
      </w:pPr>
      <w:r>
        <w:rPr>
          <w:rFonts w:ascii="Times New Roman" w:hAnsi="Times New Roman"/>
          <w:b w:val="0"/>
          <w:i w:val="0"/>
          <w:sz w:val="22"/>
        </w:rPr>
        <w:t>The authors declare no conflicts of interest related to this work.</w:t>
      </w:r>
    </w:p>
    <w:p>
      <w:pPr>
        <w:spacing w:before="240" w:after="120" w:line="276" w:lineRule="auto"/>
      </w:pPr>
      <w:r>
        <w:rPr>
          <w:rFonts w:ascii="Times New Roman" w:hAnsi="Times New Roman"/>
          <w:b/>
          <w:sz w:val="28"/>
        </w:rPr>
        <w:t>Author Contributions (CRediT)</w:t>
      </w:r>
    </w:p>
    <w:p>
      <w:pPr>
        <w:spacing w:before="0" w:after="120" w:line="360" w:lineRule="auto"/>
      </w:pPr>
      <w:r>
        <w:rPr>
          <w:rFonts w:ascii="Times New Roman" w:hAnsi="Times New Roman"/>
          <w:b w:val="0"/>
          <w:i w:val="0"/>
          <w:sz w:val="22"/>
        </w:rPr>
        <w:t>L.D.G.: Conceptualization, Data Curation, Formal Analysis, Methodology, Software, Visualization, Writing — Original Draft, Writing — Review and Editing. [Co-author 2]: Data Curation, Investigation, Writing — Review and Editing. [Senior Author]: Conceptualization, Methodology, Resources, Supervision, Writing — Review and Editing.</w:t>
      </w:r>
    </w:p>
    <w:p>
      <w:pPr>
        <w:spacing w:before="240" w:after="120" w:line="276" w:lineRule="auto"/>
      </w:pPr>
      <w:r>
        <w:rPr>
          <w:rFonts w:ascii="Times New Roman" w:hAnsi="Times New Roman"/>
          <w:b/>
          <w:sz w:val="28"/>
        </w:rPr>
        <w:t>References (Vancouver style)</w:t>
      </w:r>
    </w:p>
    <w:p>
      <w:pPr>
        <w:spacing w:before="0" w:after="60" w:line="360" w:lineRule="auto"/>
      </w:pPr>
      <w:r>
        <w:rPr>
          <w:rFonts w:ascii="Times New Roman" w:hAnsi="Times New Roman"/>
          <w:b w:val="0"/>
          <w:i w:val="0"/>
          <w:sz w:val="20"/>
        </w:rPr>
        <w:t>1. Haugen BR, Alexander EK, Bible KC, et al. 2015 American Thyroid Association management guidelines for adult patients with thyroid nodules and differentiated thyroid cancer. Thyroid. 2016;26(1):1–133.</w:t>
      </w:r>
    </w:p>
    <w:p>
      <w:pPr>
        <w:spacing w:before="0" w:after="60" w:line="360" w:lineRule="auto"/>
      </w:pPr>
      <w:r>
        <w:rPr>
          <w:rFonts w:ascii="Times New Roman" w:hAnsi="Times New Roman"/>
          <w:b w:val="0"/>
          <w:i w:val="0"/>
          <w:sz w:val="20"/>
        </w:rPr>
        <w:t>2. Durante C, Grani G, Lamartina L, Filetti S, Mandel SJ, Cooper DS. The diagnosis and management of thyroid nodules: a review. JAMA. 2018;319(9):914–924.</w:t>
      </w:r>
    </w:p>
    <w:p>
      <w:pPr>
        <w:spacing w:before="0" w:after="60" w:line="360" w:lineRule="auto"/>
      </w:pPr>
      <w:r>
        <w:rPr>
          <w:rFonts w:ascii="Times New Roman" w:hAnsi="Times New Roman"/>
          <w:b w:val="0"/>
          <w:i w:val="0"/>
          <w:sz w:val="20"/>
        </w:rPr>
        <w:t>3. Tessler FN, Middleton WD, Grant EG, et al. ACR Thyroid Imaging, Reporting and Data System (TI-RADS): white paper of the ACR TI-RADS Committee. J Am Coll Radiol. 2017;14(5):587–595.</w:t>
      </w:r>
    </w:p>
    <w:p>
      <w:pPr>
        <w:spacing w:before="0" w:after="60" w:line="360" w:lineRule="auto"/>
      </w:pPr>
      <w:r>
        <w:rPr>
          <w:rFonts w:ascii="Times New Roman" w:hAnsi="Times New Roman"/>
          <w:b w:val="0"/>
          <w:i w:val="0"/>
          <w:sz w:val="20"/>
        </w:rPr>
        <w:t>4. Middleton WD, Teefey SA, Reading CC, et al. Multiinstitutional analysis of thyroid nodule risk stratification using the ACR TI-RADS. AJR Am J Roentgenol. 2017;208(6):1331–1341.</w:t>
      </w:r>
    </w:p>
    <w:p>
      <w:pPr>
        <w:spacing w:before="0" w:after="60" w:line="360" w:lineRule="auto"/>
      </w:pPr>
      <w:r>
        <w:rPr>
          <w:rFonts w:ascii="Times New Roman" w:hAnsi="Times New Roman"/>
          <w:b w:val="0"/>
          <w:i w:val="0"/>
          <w:sz w:val="20"/>
        </w:rPr>
        <w:t>5. Russ G, Bonnema SJ, Erdogan MF, Durante C, Ngu R, Leenhardt L. European Thyroid Association guidelines for ultrasound malignancy risk stratification of thyroid nodules in adults: the EU-TIRADS. Eur Thyroid J. 2017;6(5):225–237.</w:t>
      </w:r>
    </w:p>
    <w:p>
      <w:pPr>
        <w:spacing w:before="0" w:after="60" w:line="360" w:lineRule="auto"/>
      </w:pPr>
      <w:r>
        <w:rPr>
          <w:rFonts w:ascii="Times New Roman" w:hAnsi="Times New Roman"/>
          <w:b w:val="0"/>
          <w:i w:val="0"/>
          <w:sz w:val="20"/>
        </w:rPr>
        <w:t>6. Ali SZ, Baloch ZW, Cochand-Priollet B, Schmitt FC, Vielh P, VanderLaan PA. The 2023 Bethesda System for Reporting Thyroid Cytopathology. Thyroid. 2023;33(9):1039–1044.</w:t>
      </w:r>
    </w:p>
    <w:p>
      <w:pPr>
        <w:spacing w:before="0" w:after="60" w:line="360" w:lineRule="auto"/>
      </w:pPr>
      <w:r>
        <w:rPr>
          <w:rFonts w:ascii="Times New Roman" w:hAnsi="Times New Roman"/>
          <w:b w:val="0"/>
          <w:i w:val="0"/>
          <w:sz w:val="20"/>
        </w:rPr>
        <w:t>7. Gao L, Xi X, Jiang Y, et al. Comparison among TIRADS (ACR TI-RADS and KWAK-TI-RADS) and 2015 ATA Guidelines in the diagnostic efficiency of thyroid nodules. Endocrine. 2019;64(1):90–96.</w:t>
      </w:r>
    </w:p>
    <w:p>
      <w:pPr>
        <w:spacing w:before="0" w:after="60" w:line="360" w:lineRule="auto"/>
      </w:pPr>
      <w:r>
        <w:rPr>
          <w:rFonts w:ascii="Times New Roman" w:hAnsi="Times New Roman"/>
          <w:b w:val="0"/>
          <w:i w:val="0"/>
          <w:sz w:val="20"/>
        </w:rPr>
        <w:t>8. Hoang JK, Middleton WD, Farjat AE, et al. Reduction in thyroid nodule biopsies and improved accuracy with American College of Radiology Thyroid Imaging Reporting and Data System. Radiology. 2018;287(1):185–193.</w:t>
      </w:r>
    </w:p>
    <w:p>
      <w:pPr>
        <w:spacing w:before="0" w:after="60" w:line="360" w:lineRule="auto"/>
      </w:pPr>
      <w:r>
        <w:rPr>
          <w:rFonts w:ascii="Times New Roman" w:hAnsi="Times New Roman"/>
          <w:b w:val="0"/>
          <w:i w:val="0"/>
          <w:sz w:val="20"/>
        </w:rPr>
        <w:t>9. Middleton WD, Teefey SA, Reading CC, et al. Comparison of performance characteristics of ACR TI-RADS, Korean Society of Thyroid Radiology TIRADS, and ATA guidelines. AJR Am J Roentgenol. 2018;210(5):1148–1154.</w:t>
      </w:r>
    </w:p>
    <w:p>
      <w:pPr>
        <w:spacing w:before="0" w:after="60" w:line="360" w:lineRule="auto"/>
      </w:pPr>
      <w:r>
        <w:rPr>
          <w:rFonts w:ascii="Times New Roman" w:hAnsi="Times New Roman"/>
          <w:b w:val="0"/>
          <w:i w:val="0"/>
          <w:sz w:val="20"/>
        </w:rPr>
        <w:t>10. Grani G, Lamartina L, Ascoli V, et al. Reducing the number of unnecessary thyroid biopsies while improving diagnostic accuracy: toward the 'right' TIRADS. J Clin Endocrinol Metab. 2019;104(1):95–102.</w:t>
      </w:r>
    </w:p>
    <w:p>
      <w:pPr>
        <w:spacing w:before="0" w:after="60" w:line="360" w:lineRule="auto"/>
      </w:pPr>
      <w:r>
        <w:rPr>
          <w:rFonts w:ascii="Times New Roman" w:hAnsi="Times New Roman"/>
          <w:b w:val="0"/>
          <w:i w:val="0"/>
          <w:sz w:val="20"/>
        </w:rPr>
        <w:t>11. Ha EJ, Na DG, Baek JH, Sung JY, Kim JH, Kang SY. US fine-needle aspiration biopsy for thyroid malignancy: diagnostic performance of seven society guidelines applied to 2000 thyroid nodules. Radiology. 2018;287(3):893–900.</w:t>
      </w:r>
    </w:p>
    <w:p>
      <w:pPr>
        <w:spacing w:before="0" w:after="60" w:line="360" w:lineRule="auto"/>
      </w:pPr>
      <w:r>
        <w:rPr>
          <w:rFonts w:ascii="Times New Roman" w:hAnsi="Times New Roman"/>
          <w:b w:val="0"/>
          <w:i w:val="0"/>
          <w:sz w:val="20"/>
        </w:rPr>
        <w:t>12. Castellana M, Castellana C, Treglia G, et al. Performance of five ultrasound risk stratification systems in selecting thyroid nodules for FNA: a meta-analysis. J Clin Endocrinol Metab. 2020;105(5):dgz170.</w:t>
      </w:r>
    </w:p>
    <w:p>
      <w:pPr>
        <w:spacing w:before="0" w:after="60" w:line="360" w:lineRule="auto"/>
      </w:pPr>
      <w:r>
        <w:rPr>
          <w:rFonts w:ascii="Times New Roman" w:hAnsi="Times New Roman"/>
          <w:b w:val="0"/>
          <w:i w:val="0"/>
          <w:sz w:val="20"/>
        </w:rPr>
        <w:t>13. Sahli ZT, Karipineni F, Hang JF, et al. The association between the Ultrasonography TIRADS classification system and surgical pathology among indeterminate thyroid nodules. Surgery. 2019;165(1):69–74.</w:t>
      </w:r>
    </w:p>
    <w:p>
      <w:pPr>
        <w:spacing w:before="0" w:after="60" w:line="360" w:lineRule="auto"/>
      </w:pPr>
      <w:r>
        <w:rPr>
          <w:rFonts w:ascii="Times New Roman" w:hAnsi="Times New Roman"/>
          <w:b w:val="0"/>
          <w:i w:val="0"/>
          <w:sz w:val="20"/>
        </w:rPr>
        <w:t>14. Wright KL, Ramonell KM, Sutton W, et al. Critical evaluation of the ACR TI-RADS at a single academic center. Surgery. 2022;172(6):1571–1578.</w:t>
      </w:r>
    </w:p>
    <w:p>
      <w:pPr>
        <w:spacing w:before="0" w:after="60" w:line="360" w:lineRule="auto"/>
      </w:pPr>
      <w:r>
        <w:rPr>
          <w:rFonts w:ascii="Times New Roman" w:hAnsi="Times New Roman"/>
          <w:b w:val="0"/>
          <w:i w:val="0"/>
          <w:sz w:val="20"/>
        </w:rPr>
        <w:t>15. Tappouni RR, Itri JN, McQueen TS, Lalwani N, Ou JJ. ACR TI-RADS: pitfalls, solutions, and future directions. Radiographics. 2019;39(7):2040–2052.</w:t>
      </w:r>
    </w:p>
    <w:p>
      <w:pPr>
        <w:spacing w:before="0" w:after="60" w:line="360" w:lineRule="auto"/>
      </w:pPr>
      <w:r>
        <w:rPr>
          <w:rFonts w:ascii="Times New Roman" w:hAnsi="Times New Roman"/>
          <w:b w:val="0"/>
          <w:i w:val="0"/>
          <w:sz w:val="20"/>
        </w:rPr>
        <w:t>16. Baloch ZW, Asa SL, Barletta JA, et al. Overview of the 2022 WHO classification of thyroid neoplasms. Endocr Pathol. 2022;33(1):27–63.</w:t>
      </w:r>
    </w:p>
    <w:p>
      <w:pPr>
        <w:spacing w:before="0" w:after="60" w:line="360" w:lineRule="auto"/>
      </w:pPr>
      <w:r>
        <w:rPr>
          <w:rFonts w:ascii="Times New Roman" w:hAnsi="Times New Roman"/>
          <w:b w:val="0"/>
          <w:i w:val="0"/>
          <w:sz w:val="20"/>
        </w:rPr>
        <w:t>17. Wilson EB. Probable inference, the law of succession, and statistical inference. J Am Stat Assoc. 1927;22(158):209–212.</w:t>
      </w:r>
    </w:p>
    <w:p>
      <w:pPr>
        <w:spacing w:before="0" w:after="60" w:line="360" w:lineRule="auto"/>
      </w:pPr>
      <w:r>
        <w:rPr>
          <w:rFonts w:ascii="Times New Roman" w:hAnsi="Times New Roman"/>
          <w:b w:val="0"/>
          <w:i w:val="0"/>
          <w:sz w:val="20"/>
        </w:rPr>
        <w:t>18. Youden WJ. Index for rating diagnostic tests. Cancer. 1950;3(1):32–35.</w:t>
      </w:r>
    </w:p>
    <w:p>
      <w:pPr>
        <w:spacing w:before="0" w:after="60" w:line="360" w:lineRule="auto"/>
      </w:pPr>
      <w:r>
        <w:rPr>
          <w:rFonts w:ascii="Times New Roman" w:hAnsi="Times New Roman"/>
          <w:b w:val="0"/>
          <w:i w:val="0"/>
          <w:sz w:val="20"/>
        </w:rPr>
        <w:t>19. Hanley JA, McNeil BJ. The meaning and use of the area under a receiver operating characteristic (ROC) curve. Radiology. 1982;143(1):29–36.</w:t>
      </w:r>
    </w:p>
    <w:p>
      <w:pPr>
        <w:spacing w:before="0" w:after="60" w:line="360" w:lineRule="auto"/>
      </w:pPr>
      <w:r>
        <w:rPr>
          <w:rFonts w:ascii="Times New Roman" w:hAnsi="Times New Roman"/>
          <w:b w:val="0"/>
          <w:i w:val="0"/>
          <w:sz w:val="20"/>
        </w:rPr>
        <w:t>20. Ahmadi S, Oyekunle T, Jiang X, et al. A direct comparison of the ATA and TI-RADS ultrasound scoring systems. Endocr Pract. 2019;25(5):413–422.</w:t>
      </w:r>
    </w:p>
    <w:p>
      <w:pPr>
        <w:spacing w:before="0" w:after="60" w:line="360" w:lineRule="auto"/>
      </w:pPr>
      <w:r>
        <w:rPr>
          <w:rFonts w:ascii="Times New Roman" w:hAnsi="Times New Roman"/>
          <w:b w:val="0"/>
          <w:i w:val="0"/>
          <w:sz w:val="20"/>
        </w:rPr>
        <w:t>21. Zheng Y, Xu S, Kang H, Zhan W. A single-center retrospective validation study of the American College of Radiology Thyroid Imaging Reporting and Data System. Ultrasound Q. 2018;34(2):77–83.</w:t>
      </w:r>
    </w:p>
    <w:p>
      <w:pPr>
        <w:spacing w:before="0" w:after="60" w:line="360" w:lineRule="auto"/>
      </w:pPr>
      <w:r>
        <w:rPr>
          <w:rFonts w:ascii="Times New Roman" w:hAnsi="Times New Roman"/>
          <w:b w:val="0"/>
          <w:i w:val="0"/>
          <w:sz w:val="20"/>
        </w:rPr>
        <w:t>22. Barbosa TLM, Junior COM, Graf H, et al. ACR TI-RADS and ATA US scores are helpful for the management of thyroid nodules with indeterminate cytology. BMC Endocr Disord. 2019;19(1):112.</w:t>
      </w:r>
    </w:p>
    <w:p>
      <w:pPr>
        <w:spacing w:before="0" w:after="60" w:line="360" w:lineRule="auto"/>
      </w:pPr>
      <w:r>
        <w:rPr>
          <w:rFonts w:ascii="Times New Roman" w:hAnsi="Times New Roman"/>
          <w:b w:val="0"/>
          <w:i w:val="0"/>
          <w:sz w:val="20"/>
        </w:rPr>
        <w:t>23. Daniels K, Gummadi S, Zhu Z, et al. Combined Afirma GSC and ThyroSeq v3 testing significantly improves diagnostic performance for cytologically indeterminate thyroid nodules. Thyroid. 2020;30(11):1614–1623.</w:t>
      </w:r>
    </w:p>
    <w:p>
      <w:pPr>
        <w:spacing w:before="0" w:after="60" w:line="360" w:lineRule="auto"/>
      </w:pPr>
      <w:r>
        <w:rPr>
          <w:rFonts w:ascii="Times New Roman" w:hAnsi="Times New Roman"/>
          <w:b w:val="0"/>
          <w:i w:val="0"/>
          <w:sz w:val="20"/>
        </w:rPr>
        <w:t>24. Ramonell KM, Wright KL, Sutton WJ, et al. Application of the ACR TI-RADS at an academic referral center. Surgery. 2022;172(6):1579–1585.</w:t>
      </w:r>
    </w:p>
    <w:p>
      <w:pPr>
        <w:spacing w:before="0" w:after="60" w:line="360" w:lineRule="auto"/>
      </w:pPr>
      <w:r>
        <w:rPr>
          <w:rFonts w:ascii="Times New Roman" w:hAnsi="Times New Roman"/>
          <w:b w:val="0"/>
          <w:i w:val="0"/>
          <w:sz w:val="20"/>
        </w:rPr>
        <w:t>25. Hu X, Liu Y, Qian L. Diagnostic potential of HBME-1, CK19, Galectin-3 and Ki-67 for papillary thyroid carcinoma on fine-needle aspiration biopsy. Br J Biomed Sci. 2017;74(3):133–137.</w:t>
      </w:r>
    </w:p>
    <w:p>
      <w:pPr>
        <w:spacing w:before="0" w:after="60" w:line="360" w:lineRule="auto"/>
      </w:pPr>
      <w:r>
        <w:rPr>
          <w:rFonts w:ascii="Times New Roman" w:hAnsi="Times New Roman"/>
          <w:b w:val="0"/>
          <w:i w:val="0"/>
          <w:sz w:val="20"/>
        </w:rPr>
        <w:t>26. Pizzimenti C, Fiorentino V, Ieni A, et al. Aggressive variants of follicular cell-derived thyroid carcinoma: an overview. Endocrine. 2022;78(1):1–12.</w:t>
      </w:r>
    </w:p>
    <w:p>
      <w:pPr>
        <w:spacing w:before="0" w:after="60" w:line="360" w:lineRule="auto"/>
      </w:pPr>
      <w:r>
        <w:rPr>
          <w:rFonts w:ascii="Times New Roman" w:hAnsi="Times New Roman"/>
          <w:b w:val="0"/>
          <w:i w:val="0"/>
          <w:sz w:val="20"/>
        </w:rPr>
        <w:t>27. Olson MT, Boonyaarunnate T, Aragon Han P, et al. A tertiary center's experience with second review of 3,885 thyroid cytopathology specimens. J Clin Endocrinol Metab. 2013;98(4):1450–1457.</w:t>
      </w:r>
    </w:p>
    <w:p>
      <w:pPr>
        <w:spacing w:before="0" w:after="60" w:line="360" w:lineRule="auto"/>
      </w:pPr>
      <w:r>
        <w:rPr>
          <w:rFonts w:ascii="Times New Roman" w:hAnsi="Times New Roman"/>
          <w:b w:val="0"/>
          <w:i w:val="0"/>
          <w:sz w:val="20"/>
        </w:rPr>
        <w:t>28. Ozdemir D, Aydogan BI, Sahin M, Cuhaci N, Ersoy R, Cakir B. Effect of The Bethesda System for Reporting Thyroid Cytopathology on the rate of malignancy in thyroid nodules. Endocrine. 2017;57(3):428–435.</w:t>
      </w:r>
    </w:p>
    <w:p>
      <w:pPr>
        <w:spacing w:before="0" w:after="60" w:line="360" w:lineRule="auto"/>
      </w:pPr>
      <w:r>
        <w:rPr>
          <w:rFonts w:ascii="Times New Roman" w:hAnsi="Times New Roman"/>
          <w:b w:val="0"/>
          <w:i w:val="0"/>
          <w:sz w:val="20"/>
        </w:rPr>
        <w:t>29. Anwar K, Hayat S, Tariq M, et al. Sensitivity and specificity of ACR TI-RADS for malignant thyroid nodules in a tertiary care setting. J Ayub Med Coll Abbottabad. 2023;35(3):412–417.</w:t>
      </w:r>
    </w:p>
    <w:p>
      <w:pPr>
        <w:spacing w:before="0" w:after="60" w:line="360" w:lineRule="auto"/>
      </w:pPr>
      <w:r>
        <w:rPr>
          <w:rFonts w:ascii="Times New Roman" w:hAnsi="Times New Roman"/>
          <w:b w:val="0"/>
          <w:i w:val="0"/>
          <w:sz w:val="20"/>
        </w:rPr>
        <w:t>30. Samargandy S, Alqahtani S, Al-Wassia R, et al. Diagnostic performance of the ACR TI-RADS in a Saudi tertiary center cohort. BMC Endocr Disord. 2024;24(1):82.</w:t>
      </w:r>
    </w:p>
    <w:p>
      <w:pPr>
        <w:spacing w:before="0" w:after="60" w:line="360" w:lineRule="auto"/>
      </w:pPr>
      <w:r>
        <w:rPr>
          <w:rFonts w:ascii="Times New Roman" w:hAnsi="Times New Roman"/>
          <w:b w:val="0"/>
          <w:i w:val="0"/>
          <w:sz w:val="20"/>
        </w:rPr>
        <w:t>31. Asya O, Yumuşakhuylu AC, Bayram AA, Enver N, Şahin K, Oysu Ç. Diagnostic value of ACR TI-RADS in thyroid nodules: a comparative analysis. Endocrine. 2022;76(2):403–410.</w:t>
      </w:r>
    </w:p>
    <w:p>
      <w:pPr>
        <w:spacing w:before="0" w:after="60" w:line="360" w:lineRule="auto"/>
      </w:pPr>
      <w:r>
        <w:rPr>
          <w:rFonts w:ascii="Times New Roman" w:hAnsi="Times New Roman"/>
          <w:b w:val="0"/>
          <w:i w:val="0"/>
          <w:sz w:val="20"/>
        </w:rPr>
        <w:t>32. Paker M, Aydın E, Demir Ö, Aslan M. Comparison of ACR TI-RADS and ATA classifications for thyroid nodules. Eur Arch Otorhinolaryngol. 2021;278(5):1437–1444.</w:t>
      </w:r>
    </w:p>
    <w:p>
      <w:pPr>
        <w:spacing w:before="0" w:after="60" w:line="360" w:lineRule="auto"/>
      </w:pPr>
      <w:r>
        <w:rPr>
          <w:rFonts w:ascii="Times New Roman" w:hAnsi="Times New Roman"/>
          <w:b w:val="0"/>
          <w:i w:val="0"/>
          <w:sz w:val="20"/>
        </w:rPr>
        <w:t>33. Sarayu SS, George NA, Chacko D, et al. Prospective evaluation of ACR TI-RADS in a consecutive thyroid nodule series. Indian J Surg Oncol. 2025;16(1):112–119.</w:t>
      </w:r>
    </w:p>
    <w:p>
      <w:pPr>
        <w:spacing w:before="0" w:after="60" w:line="360" w:lineRule="auto"/>
      </w:pPr>
      <w:r>
        <w:rPr>
          <w:rFonts w:ascii="Times New Roman" w:hAnsi="Times New Roman"/>
          <w:b w:val="0"/>
          <w:i w:val="0"/>
          <w:sz w:val="20"/>
        </w:rPr>
        <w:t>34. Castellana M, Castellana C, Trimboli P, et al. Performance of EU-TIRADS in malignancy risk stratification of thyroid nodules: a meta-analysis. Eur J Endocrinol. 2020;183(3):255–264.</w:t>
      </w:r>
    </w:p>
    <w:p>
      <w:pPr>
        <w:spacing w:before="0" w:after="60" w:line="360" w:lineRule="auto"/>
      </w:pPr>
      <w:r>
        <w:rPr>
          <w:rFonts w:ascii="Times New Roman" w:hAnsi="Times New Roman"/>
          <w:b w:val="0"/>
          <w:i w:val="0"/>
          <w:sz w:val="20"/>
        </w:rPr>
        <w:t>35. Piticchio T, Frasca F, Trimboli P, et al. Performance of TIRADS systems in pediatric thyroid nodules: a systematic review and meta-analysis. Eur Thyroid J. 2024;13(2):e230245.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