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360" w:line="360" w:lineRule="auto"/>
        <w:jc w:val="center"/>
      </w:pPr>
      <w:r>
        <w:rPr>
          <w:rFonts w:ascii="Times New Roman" w:hAnsi="Times New Roman"/>
          <w:b/>
          <w:i w:val="0"/>
          <w:sz w:val="28"/>
        </w:rPr>
        <w:t>Tables and Supplementary Tables</w:t>
      </w:r>
    </w:p>
    <w:p>
      <w:pPr>
        <w:spacing w:before="160" w:after="120" w:line="276" w:lineRule="auto"/>
      </w:pPr>
      <w:r>
        <w:rPr>
          <w:rFonts w:ascii="Times New Roman" w:hAnsi="Times New Roman"/>
          <w:b/>
          <w:sz w:val="24"/>
        </w:rPr>
        <w:t>Table 1. Baseline characteristics by maximum TI-RADS category (patient cohort, n = 3,375)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shd w:val="clear" w:color="auto" w:fill="1F4E7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Max TR</w:t>
            </w:r>
          </w:p>
        </w:tc>
        <w:tc>
          <w:tcPr>
            <w:tcW w:type="dxa" w:w="1170"/>
            <w:shd w:val="clear" w:color="auto" w:fill="1F4E7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n (%)</w:t>
            </w:r>
          </w:p>
        </w:tc>
        <w:tc>
          <w:tcPr>
            <w:tcW w:type="dxa" w:w="1170"/>
            <w:shd w:val="clear" w:color="auto" w:fill="1F4E7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Age, mean (SD)</w:t>
            </w:r>
          </w:p>
        </w:tc>
        <w:tc>
          <w:tcPr>
            <w:tcW w:type="dxa" w:w="1170"/>
            <w:shd w:val="clear" w:color="auto" w:fill="1F4E7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Female n (%)</w:t>
            </w:r>
          </w:p>
        </w:tc>
        <w:tc>
          <w:tcPr>
            <w:tcW w:type="dxa" w:w="1170"/>
            <w:shd w:val="clear" w:color="auto" w:fill="1F4E7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Black n</w:t>
            </w:r>
          </w:p>
        </w:tc>
        <w:tc>
          <w:tcPr>
            <w:tcW w:type="dxa" w:w="1170"/>
            <w:shd w:val="clear" w:color="auto" w:fill="1F4E7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White n</w:t>
            </w:r>
          </w:p>
        </w:tc>
        <w:tc>
          <w:tcPr>
            <w:tcW w:type="dxa" w:w="1170"/>
            <w:shd w:val="clear" w:color="auto" w:fill="1F4E7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Med. img size (cm)</w:t>
            </w:r>
          </w:p>
        </w:tc>
        <w:tc>
          <w:tcPr>
            <w:tcW w:type="dxa" w:w="1170"/>
            <w:shd w:val="clear" w:color="auto" w:fill="1F4E7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Malignant n (%)</w:t>
            </w:r>
          </w:p>
        </w:tc>
      </w:tr>
      <w:tr>
        <w:tc>
          <w:tcPr>
            <w:tcW w:type="dxa" w:w="117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7"/>
              </w:rPr>
              <w:t>TR1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7"/>
              </w:rPr>
              <w:t>340 (10.07%)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7"/>
              </w:rPr>
              <w:t>51.8 (14.8)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7"/>
              </w:rPr>
              <w:t>282 (82.9%)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7"/>
              </w:rPr>
              <w:t>184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7"/>
              </w:rPr>
              <w:t>120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7"/>
              </w:rPr>
              <w:t>1.06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7"/>
              </w:rPr>
              <w:t>96 (28.24%)</w:t>
            </w:r>
          </w:p>
        </w:tc>
      </w:tr>
      <w:tr>
        <w:tc>
          <w:tcPr>
            <w:tcW w:type="dxa" w:w="1170"/>
            <w:vAlign w:val="center"/>
            <w:shd w:val="clear" w:color="auto" w:fill="F4F7FB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7"/>
              </w:rPr>
              <w:t>TR2</w:t>
            </w:r>
          </w:p>
        </w:tc>
        <w:tc>
          <w:tcPr>
            <w:tcW w:type="dxa" w:w="1170"/>
            <w:vAlign w:val="center"/>
            <w:shd w:val="clear" w:color="auto" w:fill="F4F7FB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7"/>
              </w:rPr>
              <w:t>299 (8.86%)</w:t>
            </w:r>
          </w:p>
        </w:tc>
        <w:tc>
          <w:tcPr>
            <w:tcW w:type="dxa" w:w="1170"/>
            <w:vAlign w:val="center"/>
            <w:shd w:val="clear" w:color="auto" w:fill="F4F7FB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7"/>
              </w:rPr>
              <w:t>53.3 (14.2)</w:t>
            </w:r>
          </w:p>
        </w:tc>
        <w:tc>
          <w:tcPr>
            <w:tcW w:type="dxa" w:w="1170"/>
            <w:vAlign w:val="center"/>
            <w:shd w:val="clear" w:color="auto" w:fill="F4F7FB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7"/>
              </w:rPr>
              <w:t>253 (84.6%)</w:t>
            </w:r>
          </w:p>
        </w:tc>
        <w:tc>
          <w:tcPr>
            <w:tcW w:type="dxa" w:w="1170"/>
            <w:vAlign w:val="center"/>
            <w:shd w:val="clear" w:color="auto" w:fill="F4F7FB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7"/>
              </w:rPr>
              <w:t>158</w:t>
            </w:r>
          </w:p>
        </w:tc>
        <w:tc>
          <w:tcPr>
            <w:tcW w:type="dxa" w:w="1170"/>
            <w:vAlign w:val="center"/>
            <w:shd w:val="clear" w:color="auto" w:fill="F4F7FB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7"/>
              </w:rPr>
              <w:t>100</w:t>
            </w:r>
          </w:p>
        </w:tc>
        <w:tc>
          <w:tcPr>
            <w:tcW w:type="dxa" w:w="1170"/>
            <w:vAlign w:val="center"/>
            <w:shd w:val="clear" w:color="auto" w:fill="F4F7FB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7"/>
              </w:rPr>
              <w:t>1.44</w:t>
            </w:r>
          </w:p>
        </w:tc>
        <w:tc>
          <w:tcPr>
            <w:tcW w:type="dxa" w:w="1170"/>
            <w:vAlign w:val="center"/>
            <w:shd w:val="clear" w:color="auto" w:fill="F4F7FB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7"/>
              </w:rPr>
              <w:t>96 (32.11%)</w:t>
            </w:r>
          </w:p>
        </w:tc>
      </w:tr>
      <w:tr>
        <w:tc>
          <w:tcPr>
            <w:tcW w:type="dxa" w:w="117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7"/>
              </w:rPr>
              <w:t>TR3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7"/>
              </w:rPr>
              <w:t>845 (25.04%)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7"/>
              </w:rPr>
              <w:t>53.9 (14.9)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7"/>
              </w:rPr>
              <w:t>684 (80.9%)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7"/>
              </w:rPr>
              <w:t>489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7"/>
              </w:rPr>
              <w:t>272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7"/>
              </w:rPr>
              <w:t>1.76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7"/>
              </w:rPr>
              <w:t>233 (27.57%)</w:t>
            </w:r>
          </w:p>
        </w:tc>
      </w:tr>
      <w:tr>
        <w:tc>
          <w:tcPr>
            <w:tcW w:type="dxa" w:w="1170"/>
            <w:vAlign w:val="center"/>
            <w:shd w:val="clear" w:color="auto" w:fill="F4F7FB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7"/>
              </w:rPr>
              <w:t>TR4</w:t>
            </w:r>
          </w:p>
        </w:tc>
        <w:tc>
          <w:tcPr>
            <w:tcW w:type="dxa" w:w="1170"/>
            <w:vAlign w:val="center"/>
            <w:shd w:val="clear" w:color="auto" w:fill="F4F7FB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7"/>
              </w:rPr>
              <w:t>492 (14.58%)</w:t>
            </w:r>
          </w:p>
        </w:tc>
        <w:tc>
          <w:tcPr>
            <w:tcW w:type="dxa" w:w="1170"/>
            <w:vAlign w:val="center"/>
            <w:shd w:val="clear" w:color="auto" w:fill="F4F7FB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7"/>
              </w:rPr>
              <w:t>54.2 (14.3)</w:t>
            </w:r>
          </w:p>
        </w:tc>
        <w:tc>
          <w:tcPr>
            <w:tcW w:type="dxa" w:w="1170"/>
            <w:vAlign w:val="center"/>
            <w:shd w:val="clear" w:color="auto" w:fill="F4F7FB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7"/>
              </w:rPr>
              <w:t>397 (80.7%)</w:t>
            </w:r>
          </w:p>
        </w:tc>
        <w:tc>
          <w:tcPr>
            <w:tcW w:type="dxa" w:w="1170"/>
            <w:vAlign w:val="center"/>
            <w:shd w:val="clear" w:color="auto" w:fill="F4F7FB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7"/>
              </w:rPr>
              <w:t>207</w:t>
            </w:r>
          </w:p>
        </w:tc>
        <w:tc>
          <w:tcPr>
            <w:tcW w:type="dxa" w:w="1170"/>
            <w:vAlign w:val="center"/>
            <w:shd w:val="clear" w:color="auto" w:fill="F4F7FB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7"/>
              </w:rPr>
              <w:t>215</w:t>
            </w:r>
          </w:p>
        </w:tc>
        <w:tc>
          <w:tcPr>
            <w:tcW w:type="dxa" w:w="1170"/>
            <w:vAlign w:val="center"/>
            <w:shd w:val="clear" w:color="auto" w:fill="F4F7FB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7"/>
              </w:rPr>
              <w:t>1.99</w:t>
            </w:r>
          </w:p>
        </w:tc>
        <w:tc>
          <w:tcPr>
            <w:tcW w:type="dxa" w:w="1170"/>
            <w:vAlign w:val="center"/>
            <w:shd w:val="clear" w:color="auto" w:fill="F4F7FB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7"/>
              </w:rPr>
              <w:t>233 (47.36%)</w:t>
            </w:r>
          </w:p>
        </w:tc>
      </w:tr>
      <w:tr>
        <w:tc>
          <w:tcPr>
            <w:tcW w:type="dxa" w:w="117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7"/>
              </w:rPr>
              <w:t>TR5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7"/>
              </w:rPr>
              <w:t>1,399 (41.45%)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7"/>
              </w:rPr>
              <w:t>53.6 (15.3)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7"/>
              </w:rPr>
              <w:t>1,075 (76.8%)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7"/>
              </w:rPr>
              <w:t>497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7"/>
              </w:rPr>
              <w:t>675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7"/>
              </w:rPr>
              <w:t>2.29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7"/>
              </w:rPr>
              <w:t>821 (58.68%)</w:t>
            </w:r>
          </w:p>
        </w:tc>
      </w:tr>
    </w:tbl>
    <w:p>
      <w:pPr>
        <w:spacing w:before="0" w:after="120" w:line="360" w:lineRule="auto"/>
      </w:pPr>
      <w:r>
        <w:rPr>
          <w:rFonts w:ascii="Times New Roman" w:hAnsi="Times New Roman"/>
          <w:b w:val="0"/>
          <w:i/>
          <w:sz w:val="18"/>
        </w:rPr>
        <w:t>Source: M025_tables_and_summary.xlsx → Table_1_Baseline.</w:t>
      </w:r>
    </w:p>
    <w:p>
      <w:pPr>
        <w:spacing w:before="160" w:after="120" w:line="276" w:lineRule="auto"/>
      </w:pPr>
      <w:r>
        <w:rPr>
          <w:rFonts w:ascii="Times New Roman" w:hAnsi="Times New Roman"/>
          <w:b/>
          <w:sz w:val="24"/>
        </w:rPr>
        <w:t>Table 2. Diagnostic performance of ACR TI-RADS at three pre-specified thresholds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936"/>
            <w:shd w:val="clear" w:color="auto" w:fill="1F4E7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Grain</w:t>
            </w:r>
          </w:p>
        </w:tc>
        <w:tc>
          <w:tcPr>
            <w:tcW w:type="dxa" w:w="936"/>
            <w:shd w:val="clear" w:color="auto" w:fill="1F4E7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Threshold</w:t>
            </w:r>
          </w:p>
        </w:tc>
        <w:tc>
          <w:tcPr>
            <w:tcW w:type="dxa" w:w="936"/>
            <w:shd w:val="clear" w:color="auto" w:fill="1F4E7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TP</w:t>
            </w:r>
          </w:p>
        </w:tc>
        <w:tc>
          <w:tcPr>
            <w:tcW w:type="dxa" w:w="936"/>
            <w:shd w:val="clear" w:color="auto" w:fill="1F4E7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FP</w:t>
            </w:r>
          </w:p>
        </w:tc>
        <w:tc>
          <w:tcPr>
            <w:tcW w:type="dxa" w:w="936"/>
            <w:shd w:val="clear" w:color="auto" w:fill="1F4E7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FN</w:t>
            </w:r>
          </w:p>
        </w:tc>
        <w:tc>
          <w:tcPr>
            <w:tcW w:type="dxa" w:w="936"/>
            <w:shd w:val="clear" w:color="auto" w:fill="1F4E7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TN</w:t>
            </w:r>
          </w:p>
        </w:tc>
        <w:tc>
          <w:tcPr>
            <w:tcW w:type="dxa" w:w="936"/>
            <w:shd w:val="clear" w:color="auto" w:fill="1F4E7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Sens % (95% CI)</w:t>
            </w:r>
          </w:p>
        </w:tc>
        <w:tc>
          <w:tcPr>
            <w:tcW w:type="dxa" w:w="936"/>
            <w:shd w:val="clear" w:color="auto" w:fill="1F4E7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Spec % (95% CI)</w:t>
            </w:r>
          </w:p>
        </w:tc>
        <w:tc>
          <w:tcPr>
            <w:tcW w:type="dxa" w:w="936"/>
            <w:shd w:val="clear" w:color="auto" w:fill="1F4E7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PPV %</w:t>
            </w:r>
          </w:p>
        </w:tc>
        <w:tc>
          <w:tcPr>
            <w:tcW w:type="dxa" w:w="936"/>
            <w:shd w:val="clear" w:color="auto" w:fill="1F4E7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NPV %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6"/>
              </w:rPr>
              <w:t>Patient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6"/>
              </w:rPr>
              <w:t>TR≥TR3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6"/>
              </w:rPr>
              <w:t>1,287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6"/>
              </w:rPr>
              <w:t>1,449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6"/>
              </w:rPr>
              <w:t>192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6"/>
              </w:rPr>
              <w:t>447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6"/>
              </w:rPr>
              <w:t>87.0 (85.2–88.6)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6"/>
              </w:rPr>
              <w:t>23.6 (21.7–25.5)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6"/>
              </w:rPr>
              <w:t>47.0 (45.2–48.9)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6"/>
              </w:rPr>
              <w:t>70.0 (66.3–73.4)</w:t>
            </w:r>
          </w:p>
        </w:tc>
      </w:tr>
      <w:tr>
        <w:tc>
          <w:tcPr>
            <w:tcW w:type="dxa" w:w="936"/>
            <w:vAlign w:val="center"/>
            <w:shd w:val="clear" w:color="auto" w:fill="F4F7FB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6"/>
              </w:rPr>
              <w:t>Patient</w:t>
            </w:r>
          </w:p>
        </w:tc>
        <w:tc>
          <w:tcPr>
            <w:tcW w:type="dxa" w:w="936"/>
            <w:vAlign w:val="center"/>
            <w:shd w:val="clear" w:color="auto" w:fill="F4F7FB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6"/>
              </w:rPr>
              <w:t>TR≥TR4 (Youden)</w:t>
            </w:r>
          </w:p>
        </w:tc>
        <w:tc>
          <w:tcPr>
            <w:tcW w:type="dxa" w:w="936"/>
            <w:vAlign w:val="center"/>
            <w:shd w:val="clear" w:color="auto" w:fill="F4F7FB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6"/>
              </w:rPr>
              <w:t>1,054</w:t>
            </w:r>
          </w:p>
        </w:tc>
        <w:tc>
          <w:tcPr>
            <w:tcW w:type="dxa" w:w="936"/>
            <w:vAlign w:val="center"/>
            <w:shd w:val="clear" w:color="auto" w:fill="F4F7FB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6"/>
              </w:rPr>
              <w:t>837</w:t>
            </w:r>
          </w:p>
        </w:tc>
        <w:tc>
          <w:tcPr>
            <w:tcW w:type="dxa" w:w="936"/>
            <w:vAlign w:val="center"/>
            <w:shd w:val="clear" w:color="auto" w:fill="F4F7FB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6"/>
              </w:rPr>
              <w:t>425</w:t>
            </w:r>
          </w:p>
        </w:tc>
        <w:tc>
          <w:tcPr>
            <w:tcW w:type="dxa" w:w="936"/>
            <w:vAlign w:val="center"/>
            <w:shd w:val="clear" w:color="auto" w:fill="F4F7FB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6"/>
              </w:rPr>
              <w:t>1,059</w:t>
            </w:r>
          </w:p>
        </w:tc>
        <w:tc>
          <w:tcPr>
            <w:tcW w:type="dxa" w:w="936"/>
            <w:vAlign w:val="center"/>
            <w:shd w:val="clear" w:color="auto" w:fill="F4F7FB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6"/>
              </w:rPr>
              <w:t>71.3 (68.9–73.5)</w:t>
            </w:r>
          </w:p>
        </w:tc>
        <w:tc>
          <w:tcPr>
            <w:tcW w:type="dxa" w:w="936"/>
            <w:vAlign w:val="center"/>
            <w:shd w:val="clear" w:color="auto" w:fill="F4F7FB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6"/>
              </w:rPr>
              <w:t>55.9 (53.6–58.1)</w:t>
            </w:r>
          </w:p>
        </w:tc>
        <w:tc>
          <w:tcPr>
            <w:tcW w:type="dxa" w:w="936"/>
            <w:vAlign w:val="center"/>
            <w:shd w:val="clear" w:color="auto" w:fill="F4F7FB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6"/>
              </w:rPr>
              <w:t>55.7 (53.5–58.0)</w:t>
            </w:r>
          </w:p>
        </w:tc>
        <w:tc>
          <w:tcPr>
            <w:tcW w:type="dxa" w:w="936"/>
            <w:vAlign w:val="center"/>
            <w:shd w:val="clear" w:color="auto" w:fill="F4F7FB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6"/>
              </w:rPr>
              <w:t>71.4 (69.0–73.6)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6"/>
              </w:rPr>
              <w:t>Patient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6"/>
              </w:rPr>
              <w:t>TR≥TR5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6"/>
              </w:rPr>
              <w:t>821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6"/>
              </w:rPr>
              <w:t>578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6"/>
              </w:rPr>
              <w:t>658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6"/>
              </w:rPr>
              <w:t>1,318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6"/>
              </w:rPr>
              <w:t>55.5 (53.0–58.0)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6"/>
              </w:rPr>
              <w:t>69.5 (67.4–71.6)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6"/>
              </w:rPr>
              <w:t>58.7 (56.1–61.2)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6"/>
              </w:rPr>
              <w:t>66.7 (64.6–68.7)</w:t>
            </w:r>
          </w:p>
        </w:tc>
      </w:tr>
      <w:tr>
        <w:tc>
          <w:tcPr>
            <w:tcW w:type="dxa" w:w="936"/>
            <w:vAlign w:val="center"/>
            <w:shd w:val="clear" w:color="auto" w:fill="F4F7FB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6"/>
              </w:rPr>
              <w:t>Nodule (strict)</w:t>
            </w:r>
          </w:p>
        </w:tc>
        <w:tc>
          <w:tcPr>
            <w:tcW w:type="dxa" w:w="936"/>
            <w:vAlign w:val="center"/>
            <w:shd w:val="clear" w:color="auto" w:fill="F4F7FB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6"/>
              </w:rPr>
              <w:t>TR≥TR3</w:t>
            </w:r>
          </w:p>
        </w:tc>
        <w:tc>
          <w:tcPr>
            <w:tcW w:type="dxa" w:w="936"/>
            <w:vAlign w:val="center"/>
            <w:shd w:val="clear" w:color="auto" w:fill="F4F7FB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6"/>
              </w:rPr>
              <w:t>627</w:t>
            </w:r>
          </w:p>
        </w:tc>
        <w:tc>
          <w:tcPr>
            <w:tcW w:type="dxa" w:w="936"/>
            <w:vAlign w:val="center"/>
            <w:shd w:val="clear" w:color="auto" w:fill="F4F7FB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6"/>
              </w:rPr>
              <w:t>3,029</w:t>
            </w:r>
          </w:p>
        </w:tc>
        <w:tc>
          <w:tcPr>
            <w:tcW w:type="dxa" w:w="936"/>
            <w:vAlign w:val="center"/>
            <w:shd w:val="clear" w:color="auto" w:fill="F4F7FB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6"/>
              </w:rPr>
              <w:t>4</w:t>
            </w:r>
          </w:p>
        </w:tc>
        <w:tc>
          <w:tcPr>
            <w:tcW w:type="dxa" w:w="936"/>
            <w:vAlign w:val="center"/>
            <w:shd w:val="clear" w:color="auto" w:fill="F4F7FB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6"/>
              </w:rPr>
              <w:t>27</w:t>
            </w:r>
          </w:p>
        </w:tc>
        <w:tc>
          <w:tcPr>
            <w:tcW w:type="dxa" w:w="936"/>
            <w:vAlign w:val="center"/>
            <w:shd w:val="clear" w:color="auto" w:fill="F4F7FB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6"/>
              </w:rPr>
              <w:t>99.4 (98.4–99.8)</w:t>
            </w:r>
          </w:p>
        </w:tc>
        <w:tc>
          <w:tcPr>
            <w:tcW w:type="dxa" w:w="936"/>
            <w:vAlign w:val="center"/>
            <w:shd w:val="clear" w:color="auto" w:fill="F4F7FB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6"/>
              </w:rPr>
              <w:t>0.9 (0.6–1.3)</w:t>
            </w:r>
          </w:p>
        </w:tc>
        <w:tc>
          <w:tcPr>
            <w:tcW w:type="dxa" w:w="936"/>
            <w:vAlign w:val="center"/>
            <w:shd w:val="clear" w:color="auto" w:fill="F4F7FB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6"/>
              </w:rPr>
              <w:t>17.2 (16.0–18.4)</w:t>
            </w:r>
          </w:p>
        </w:tc>
        <w:tc>
          <w:tcPr>
            <w:tcW w:type="dxa" w:w="936"/>
            <w:vAlign w:val="center"/>
            <w:shd w:val="clear" w:color="auto" w:fill="F4F7FB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6"/>
              </w:rPr>
              <w:t>87.1 (71.2–94.9)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6"/>
              </w:rPr>
              <w:t>Nodule (strict)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6"/>
              </w:rPr>
              <w:t>TR≥TR4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6"/>
              </w:rPr>
              <w:t>485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6"/>
              </w:rPr>
              <w:t>1,616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6"/>
              </w:rPr>
              <w:t>146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6"/>
              </w:rPr>
              <w:t>1,440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6"/>
              </w:rPr>
              <w:t>76.9 (73.4–80.0)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6"/>
              </w:rPr>
              <w:t>47.1 (45.4–48.9)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6"/>
              </w:rPr>
              <w:t>23.1 (21.3–24.9)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6"/>
              </w:rPr>
              <w:t>90.8 (89.3–92.1)</w:t>
            </w:r>
          </w:p>
        </w:tc>
      </w:tr>
      <w:tr>
        <w:tc>
          <w:tcPr>
            <w:tcW w:type="dxa" w:w="936"/>
            <w:vAlign w:val="center"/>
            <w:shd w:val="clear" w:color="auto" w:fill="F4F7FB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6"/>
              </w:rPr>
              <w:t>Nodule (strict)</w:t>
            </w:r>
          </w:p>
        </w:tc>
        <w:tc>
          <w:tcPr>
            <w:tcW w:type="dxa" w:w="936"/>
            <w:vAlign w:val="center"/>
            <w:shd w:val="clear" w:color="auto" w:fill="F4F7FB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6"/>
              </w:rPr>
              <w:t>TR≥TR5</w:t>
            </w:r>
          </w:p>
        </w:tc>
        <w:tc>
          <w:tcPr>
            <w:tcW w:type="dxa" w:w="936"/>
            <w:vAlign w:val="center"/>
            <w:shd w:val="clear" w:color="auto" w:fill="F4F7FB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6"/>
              </w:rPr>
              <w:t>324</w:t>
            </w:r>
          </w:p>
        </w:tc>
        <w:tc>
          <w:tcPr>
            <w:tcW w:type="dxa" w:w="936"/>
            <w:vAlign w:val="center"/>
            <w:shd w:val="clear" w:color="auto" w:fill="F4F7FB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6"/>
              </w:rPr>
              <w:t>917</w:t>
            </w:r>
          </w:p>
        </w:tc>
        <w:tc>
          <w:tcPr>
            <w:tcW w:type="dxa" w:w="936"/>
            <w:vAlign w:val="center"/>
            <w:shd w:val="clear" w:color="auto" w:fill="F4F7FB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6"/>
              </w:rPr>
              <w:t>307</w:t>
            </w:r>
          </w:p>
        </w:tc>
        <w:tc>
          <w:tcPr>
            <w:tcW w:type="dxa" w:w="936"/>
            <w:vAlign w:val="center"/>
            <w:shd w:val="clear" w:color="auto" w:fill="F4F7FB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6"/>
              </w:rPr>
              <w:t>2,139</w:t>
            </w:r>
          </w:p>
        </w:tc>
        <w:tc>
          <w:tcPr>
            <w:tcW w:type="dxa" w:w="936"/>
            <w:vAlign w:val="center"/>
            <w:shd w:val="clear" w:color="auto" w:fill="F4F7FB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6"/>
              </w:rPr>
              <w:t>51.4 (47.5–55.2)</w:t>
            </w:r>
          </w:p>
        </w:tc>
        <w:tc>
          <w:tcPr>
            <w:tcW w:type="dxa" w:w="936"/>
            <w:vAlign w:val="center"/>
            <w:shd w:val="clear" w:color="auto" w:fill="F4F7FB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6"/>
              </w:rPr>
              <w:t>70.0 (68.3–71.6)</w:t>
            </w:r>
          </w:p>
        </w:tc>
        <w:tc>
          <w:tcPr>
            <w:tcW w:type="dxa" w:w="936"/>
            <w:vAlign w:val="center"/>
            <w:shd w:val="clear" w:color="auto" w:fill="F4F7FB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6"/>
              </w:rPr>
              <w:t>26.1 (23.7–28.6)</w:t>
            </w:r>
          </w:p>
        </w:tc>
        <w:tc>
          <w:tcPr>
            <w:tcW w:type="dxa" w:w="936"/>
            <w:vAlign w:val="center"/>
            <w:shd w:val="clear" w:color="auto" w:fill="F4F7FB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6"/>
              </w:rPr>
              <w:t>87.5 (86.1–88.7)</w:t>
            </w:r>
          </w:p>
        </w:tc>
      </w:tr>
    </w:tbl>
    <w:p>
      <w:pPr>
        <w:spacing w:before="0" w:after="120" w:line="360" w:lineRule="auto"/>
      </w:pPr>
      <w:r>
        <w:rPr>
          <w:rFonts w:ascii="Times New Roman" w:hAnsi="Times New Roman"/>
          <w:b w:val="0"/>
          <w:i/>
          <w:sz w:val="18"/>
        </w:rPr>
        <w:t>Wilson 95% CIs. Patient AUC = 0.648 [0.630–0.667]; Nodule AUC = 0.640. Source: Table_2_Thresholds.</w:t>
      </w:r>
    </w:p>
    <w:p>
      <w:pPr>
        <w:spacing w:before="160" w:after="120" w:line="276" w:lineRule="auto"/>
      </w:pPr>
      <w:r>
        <w:rPr>
          <w:rFonts w:ascii="Times New Roman" w:hAnsi="Times New Roman"/>
          <w:b/>
          <w:sz w:val="24"/>
        </w:rPr>
        <w:t>Table 3. Patient-level versus nodule-level ROM by TI-RADS category with ACR-expected bands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936"/>
            <w:shd w:val="clear" w:color="auto" w:fill="1F4E7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TR cat.</w:t>
            </w:r>
          </w:p>
        </w:tc>
        <w:tc>
          <w:tcPr>
            <w:tcW w:type="dxa" w:w="936"/>
            <w:shd w:val="clear" w:color="auto" w:fill="1F4E7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Patient n</w:t>
            </w:r>
          </w:p>
        </w:tc>
        <w:tc>
          <w:tcPr>
            <w:tcW w:type="dxa" w:w="936"/>
            <w:shd w:val="clear" w:color="auto" w:fill="1F4E7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Pat. malignant</w:t>
            </w:r>
          </w:p>
        </w:tc>
        <w:tc>
          <w:tcPr>
            <w:tcW w:type="dxa" w:w="936"/>
            <w:shd w:val="clear" w:color="auto" w:fill="1F4E7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Patient ROM % (95% CI)</w:t>
            </w:r>
          </w:p>
        </w:tc>
        <w:tc>
          <w:tcPr>
            <w:tcW w:type="dxa" w:w="936"/>
            <w:shd w:val="clear" w:color="auto" w:fill="1F4E7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Nodule n</w:t>
            </w:r>
          </w:p>
        </w:tc>
        <w:tc>
          <w:tcPr>
            <w:tcW w:type="dxa" w:w="936"/>
            <w:shd w:val="clear" w:color="auto" w:fill="1F4E7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Nod. malignant</w:t>
            </w:r>
          </w:p>
        </w:tc>
        <w:tc>
          <w:tcPr>
            <w:tcW w:type="dxa" w:w="936"/>
            <w:shd w:val="clear" w:color="auto" w:fill="1F4E7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Nodule ROM % (95% CI)</w:t>
            </w:r>
          </w:p>
        </w:tc>
        <w:tc>
          <w:tcPr>
            <w:tcW w:type="dxa" w:w="936"/>
            <w:shd w:val="clear" w:color="auto" w:fill="1F4E7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ACR band</w:t>
            </w:r>
          </w:p>
        </w:tc>
        <w:tc>
          <w:tcPr>
            <w:tcW w:type="dxa" w:w="936"/>
            <w:shd w:val="clear" w:color="auto" w:fill="1F4E7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In band?</w:t>
            </w:r>
          </w:p>
        </w:tc>
        <w:tc>
          <w:tcPr>
            <w:tcW w:type="dxa" w:w="936"/>
            <w:shd w:val="clear" w:color="auto" w:fill="1F4E7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Inflation pp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6"/>
              </w:rPr>
              <w:t>TR1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6"/>
              </w:rPr>
              <w:t>340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6"/>
              </w:rPr>
              <w:t>96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6"/>
              </w:rPr>
              <w:t>28.24 (23.71–33.24)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6"/>
              </w:rPr>
              <w:t>—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6"/>
              </w:rPr>
              <w:t>—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6"/>
              </w:rPr>
              <w:t>—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6"/>
              </w:rPr>
              <w:t>&lt;2%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6"/>
              </w:rPr>
              <w:t>—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6"/>
              </w:rPr>
              <w:t>—</w:t>
            </w:r>
          </w:p>
        </w:tc>
      </w:tr>
      <w:tr>
        <w:tc>
          <w:tcPr>
            <w:tcW w:type="dxa" w:w="936"/>
            <w:vAlign w:val="center"/>
            <w:shd w:val="clear" w:color="auto" w:fill="F4F7FB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6"/>
              </w:rPr>
              <w:t>TR2</w:t>
            </w:r>
          </w:p>
        </w:tc>
        <w:tc>
          <w:tcPr>
            <w:tcW w:type="dxa" w:w="936"/>
            <w:vAlign w:val="center"/>
            <w:shd w:val="clear" w:color="auto" w:fill="F4F7FB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6"/>
              </w:rPr>
              <w:t>299</w:t>
            </w:r>
          </w:p>
        </w:tc>
        <w:tc>
          <w:tcPr>
            <w:tcW w:type="dxa" w:w="936"/>
            <w:vAlign w:val="center"/>
            <w:shd w:val="clear" w:color="auto" w:fill="F4F7FB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6"/>
              </w:rPr>
              <w:t>96</w:t>
            </w:r>
          </w:p>
        </w:tc>
        <w:tc>
          <w:tcPr>
            <w:tcW w:type="dxa" w:w="936"/>
            <w:vAlign w:val="center"/>
            <w:shd w:val="clear" w:color="auto" w:fill="F4F7FB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6"/>
              </w:rPr>
              <w:t>32.11 (27.07–37.60)</w:t>
            </w:r>
          </w:p>
        </w:tc>
        <w:tc>
          <w:tcPr>
            <w:tcW w:type="dxa" w:w="936"/>
            <w:vAlign w:val="center"/>
            <w:shd w:val="clear" w:color="auto" w:fill="F4F7FB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6"/>
              </w:rPr>
              <w:t>31</w:t>
            </w:r>
          </w:p>
        </w:tc>
        <w:tc>
          <w:tcPr>
            <w:tcW w:type="dxa" w:w="936"/>
            <w:vAlign w:val="center"/>
            <w:shd w:val="clear" w:color="auto" w:fill="F4F7FB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6"/>
              </w:rPr>
              <w:t>4</w:t>
            </w:r>
          </w:p>
        </w:tc>
        <w:tc>
          <w:tcPr>
            <w:tcW w:type="dxa" w:w="936"/>
            <w:vAlign w:val="center"/>
            <w:shd w:val="clear" w:color="auto" w:fill="F4F7FB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6"/>
              </w:rPr>
              <w:t>12.90 (5.13–28.85)</w:t>
            </w:r>
          </w:p>
        </w:tc>
        <w:tc>
          <w:tcPr>
            <w:tcW w:type="dxa" w:w="936"/>
            <w:vAlign w:val="center"/>
            <w:shd w:val="clear" w:color="auto" w:fill="F4F7FB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6"/>
              </w:rPr>
              <w:t>&lt;2%</w:t>
            </w:r>
          </w:p>
        </w:tc>
        <w:tc>
          <w:tcPr>
            <w:tcW w:type="dxa" w:w="936"/>
            <w:vAlign w:val="center"/>
            <w:shd w:val="clear" w:color="auto" w:fill="F4F7FB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6"/>
              </w:rPr>
              <w:t>no</w:t>
            </w:r>
          </w:p>
        </w:tc>
        <w:tc>
          <w:tcPr>
            <w:tcW w:type="dxa" w:w="936"/>
            <w:vAlign w:val="center"/>
            <w:shd w:val="clear" w:color="auto" w:fill="F4F7FB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6"/>
              </w:rPr>
              <w:t>+19.21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6"/>
              </w:rPr>
              <w:t>TR3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6"/>
              </w:rPr>
              <w:t>845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6"/>
              </w:rPr>
              <w:t>233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6"/>
              </w:rPr>
              <w:t>27.57 (24.67–30.68)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6"/>
              </w:rPr>
              <w:t>1,555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6"/>
              </w:rPr>
              <w:t>142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6"/>
              </w:rPr>
              <w:t>9.13 (7.80–10.67)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6"/>
              </w:rPr>
              <w:t>&lt;5%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6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6"/>
              </w:rPr>
              <w:t>+18.44</w:t>
            </w:r>
          </w:p>
        </w:tc>
      </w:tr>
      <w:tr>
        <w:tc>
          <w:tcPr>
            <w:tcW w:type="dxa" w:w="936"/>
            <w:vAlign w:val="center"/>
            <w:shd w:val="clear" w:color="auto" w:fill="F4F7FB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6"/>
              </w:rPr>
              <w:t>TR4</w:t>
            </w:r>
          </w:p>
        </w:tc>
        <w:tc>
          <w:tcPr>
            <w:tcW w:type="dxa" w:w="936"/>
            <w:vAlign w:val="center"/>
            <w:shd w:val="clear" w:color="auto" w:fill="F4F7FB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6"/>
              </w:rPr>
              <w:t>492</w:t>
            </w:r>
          </w:p>
        </w:tc>
        <w:tc>
          <w:tcPr>
            <w:tcW w:type="dxa" w:w="936"/>
            <w:vAlign w:val="center"/>
            <w:shd w:val="clear" w:color="auto" w:fill="F4F7FB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6"/>
              </w:rPr>
              <w:t>233</w:t>
            </w:r>
          </w:p>
        </w:tc>
        <w:tc>
          <w:tcPr>
            <w:tcW w:type="dxa" w:w="936"/>
            <w:vAlign w:val="center"/>
            <w:shd w:val="clear" w:color="auto" w:fill="F4F7FB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6"/>
              </w:rPr>
              <w:t>47.36 (42.98–51.77)</w:t>
            </w:r>
          </w:p>
        </w:tc>
        <w:tc>
          <w:tcPr>
            <w:tcW w:type="dxa" w:w="936"/>
            <w:vAlign w:val="center"/>
            <w:shd w:val="clear" w:color="auto" w:fill="F4F7FB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6"/>
              </w:rPr>
              <w:t>860</w:t>
            </w:r>
          </w:p>
        </w:tc>
        <w:tc>
          <w:tcPr>
            <w:tcW w:type="dxa" w:w="936"/>
            <w:vAlign w:val="center"/>
            <w:shd w:val="clear" w:color="auto" w:fill="F4F7FB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6"/>
              </w:rPr>
              <w:t>161</w:t>
            </w:r>
          </w:p>
        </w:tc>
        <w:tc>
          <w:tcPr>
            <w:tcW w:type="dxa" w:w="936"/>
            <w:vAlign w:val="center"/>
            <w:shd w:val="clear" w:color="auto" w:fill="F4F7FB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6"/>
              </w:rPr>
              <w:t>18.72 (16.26–21.47)</w:t>
            </w:r>
          </w:p>
        </w:tc>
        <w:tc>
          <w:tcPr>
            <w:tcW w:type="dxa" w:w="936"/>
            <w:vAlign w:val="center"/>
            <w:shd w:val="clear" w:color="auto" w:fill="F4F7FB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6"/>
              </w:rPr>
              <w:t>5–20%</w:t>
            </w:r>
          </w:p>
        </w:tc>
        <w:tc>
          <w:tcPr>
            <w:tcW w:type="dxa" w:w="936"/>
            <w:vAlign w:val="center"/>
            <w:shd w:val="clear" w:color="auto" w:fill="F4F7FB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6"/>
              </w:rPr>
              <w:t>YES</w:t>
            </w:r>
          </w:p>
        </w:tc>
        <w:tc>
          <w:tcPr>
            <w:tcW w:type="dxa" w:w="936"/>
            <w:vAlign w:val="center"/>
            <w:shd w:val="clear" w:color="auto" w:fill="F4F7FB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6"/>
              </w:rPr>
              <w:t>+28.64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6"/>
              </w:rPr>
              <w:t>TR5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6"/>
              </w:rPr>
              <w:t>1,399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6"/>
              </w:rPr>
              <w:t>821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6"/>
              </w:rPr>
              <w:t>58.68 (56.08–61.24)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6"/>
              </w:rPr>
              <w:t>1,241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6"/>
              </w:rPr>
              <w:t>324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6"/>
              </w:rPr>
              <w:t>26.11 (23.74–28.62)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6"/>
              </w:rPr>
              <w:t>&gt;20%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6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6"/>
              </w:rPr>
              <w:t>+32.57</w:t>
            </w:r>
          </w:p>
        </w:tc>
      </w:tr>
    </w:tbl>
    <w:p>
      <w:pPr>
        <w:spacing w:before="0" w:after="120" w:line="360" w:lineRule="auto"/>
      </w:pPr>
      <w:r>
        <w:rPr>
          <w:rFonts w:ascii="Times New Roman" w:hAnsi="Times New Roman"/>
          <w:b w:val="0"/>
          <w:i/>
          <w:sz w:val="18"/>
        </w:rPr>
        <w:t>Inflation = patient ROM − nodule ROM (percentage points). Source: Table_3_Patient_vs_Nodule.</w:t>
      </w:r>
    </w:p>
    <w:p>
      <w:pPr>
        <w:spacing w:before="160" w:after="120" w:line="276" w:lineRule="auto"/>
      </w:pPr>
      <w:r>
        <w:rPr>
          <w:rFonts w:ascii="Times New Roman" w:hAnsi="Times New Roman"/>
          <w:b/>
          <w:sz w:val="24"/>
        </w:rPr>
        <w:t>Table 4. Bethesda × TI-RADS contingency at the strict-ACR-eligible nodule level (n = 3,687)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1F4E7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Bethesda</w:t>
            </w:r>
          </w:p>
        </w:tc>
        <w:tc>
          <w:tcPr>
            <w:tcW w:type="dxa" w:w="1872"/>
            <w:shd w:val="clear" w:color="auto" w:fill="1F4E7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TR2</w:t>
            </w:r>
          </w:p>
        </w:tc>
        <w:tc>
          <w:tcPr>
            <w:tcW w:type="dxa" w:w="1872"/>
            <w:shd w:val="clear" w:color="auto" w:fill="1F4E7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TR3</w:t>
            </w:r>
          </w:p>
        </w:tc>
        <w:tc>
          <w:tcPr>
            <w:tcW w:type="dxa" w:w="1872"/>
            <w:shd w:val="clear" w:color="auto" w:fill="1F4E7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TR4</w:t>
            </w:r>
          </w:p>
        </w:tc>
        <w:tc>
          <w:tcPr>
            <w:tcW w:type="dxa" w:w="1872"/>
            <w:shd w:val="clear" w:color="auto" w:fill="1F4E7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TR5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I (nondiagnostic)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9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10</w:t>
            </w:r>
          </w:p>
        </w:tc>
      </w:tr>
      <w:tr>
        <w:tc>
          <w:tcPr>
            <w:tcW w:type="dxa" w:w="1872"/>
            <w:vAlign w:val="center"/>
            <w:shd w:val="clear" w:color="auto" w:fill="F4F7FB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II (benign)</w:t>
            </w:r>
          </w:p>
        </w:tc>
        <w:tc>
          <w:tcPr>
            <w:tcW w:type="dxa" w:w="1872"/>
            <w:vAlign w:val="center"/>
            <w:shd w:val="clear" w:color="auto" w:fill="F4F7FB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1872"/>
            <w:vAlign w:val="center"/>
            <w:shd w:val="clear" w:color="auto" w:fill="F4F7FB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84</w:t>
            </w:r>
          </w:p>
        </w:tc>
        <w:tc>
          <w:tcPr>
            <w:tcW w:type="dxa" w:w="1872"/>
            <w:vAlign w:val="center"/>
            <w:shd w:val="clear" w:color="auto" w:fill="F4F7FB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29</w:t>
            </w:r>
          </w:p>
        </w:tc>
        <w:tc>
          <w:tcPr>
            <w:tcW w:type="dxa" w:w="1872"/>
            <w:vAlign w:val="center"/>
            <w:shd w:val="clear" w:color="auto" w:fill="F4F7FB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45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III (AUS)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31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25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26</w:t>
            </w:r>
          </w:p>
        </w:tc>
      </w:tr>
      <w:tr>
        <w:tc>
          <w:tcPr>
            <w:tcW w:type="dxa" w:w="1872"/>
            <w:vAlign w:val="center"/>
            <w:shd w:val="clear" w:color="auto" w:fill="F4F7FB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IV (FN/SFN)</w:t>
            </w:r>
          </w:p>
        </w:tc>
        <w:tc>
          <w:tcPr>
            <w:tcW w:type="dxa" w:w="1872"/>
            <w:vAlign w:val="center"/>
            <w:shd w:val="clear" w:color="auto" w:fill="F4F7FB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1872"/>
            <w:vAlign w:val="center"/>
            <w:shd w:val="clear" w:color="auto" w:fill="F4F7FB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23</w:t>
            </w:r>
          </w:p>
        </w:tc>
        <w:tc>
          <w:tcPr>
            <w:tcW w:type="dxa" w:w="1872"/>
            <w:vAlign w:val="center"/>
            <w:shd w:val="clear" w:color="auto" w:fill="F4F7FB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14</w:t>
            </w:r>
          </w:p>
        </w:tc>
        <w:tc>
          <w:tcPr>
            <w:tcW w:type="dxa" w:w="1872"/>
            <w:vAlign w:val="center"/>
            <w:shd w:val="clear" w:color="auto" w:fill="F4F7FB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19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V (suspicious)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23</w:t>
            </w:r>
          </w:p>
        </w:tc>
      </w:tr>
      <w:tr>
        <w:tc>
          <w:tcPr>
            <w:tcW w:type="dxa" w:w="1872"/>
            <w:vAlign w:val="center"/>
            <w:shd w:val="clear" w:color="auto" w:fill="F4F7FB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VI (malignant)</w:t>
            </w:r>
          </w:p>
        </w:tc>
        <w:tc>
          <w:tcPr>
            <w:tcW w:type="dxa" w:w="1872"/>
            <w:vAlign w:val="center"/>
            <w:shd w:val="clear" w:color="auto" w:fill="F4F7FB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872"/>
            <w:vAlign w:val="center"/>
            <w:shd w:val="clear" w:color="auto" w:fill="F4F7FB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23</w:t>
            </w:r>
          </w:p>
        </w:tc>
        <w:tc>
          <w:tcPr>
            <w:tcW w:type="dxa" w:w="1872"/>
            <w:vAlign w:val="center"/>
            <w:shd w:val="clear" w:color="auto" w:fill="F4F7FB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33</w:t>
            </w:r>
          </w:p>
        </w:tc>
        <w:tc>
          <w:tcPr>
            <w:tcW w:type="dxa" w:w="1872"/>
            <w:vAlign w:val="center"/>
            <w:shd w:val="clear" w:color="auto" w:fill="F4F7FB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77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Missing (no FNA bridge)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25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1,379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747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1,041</w:t>
            </w:r>
          </w:p>
        </w:tc>
      </w:tr>
    </w:tbl>
    <w:p>
      <w:pPr>
        <w:spacing w:before="0" w:after="120" w:line="360" w:lineRule="auto"/>
      </w:pPr>
      <w:r>
        <w:rPr>
          <w:rFonts w:ascii="Times New Roman" w:hAnsi="Times New Roman"/>
          <w:b w:val="0"/>
          <w:i/>
          <w:sz w:val="18"/>
        </w:rPr>
        <w:t>Source: Table_4_Bethesda_x_TR. 495 (13.4%) of strict-eligible nodules had a bridged Bethesda value.</w:t>
      </w:r>
    </w:p>
    <w:p>
      <w:r>
        <w:br w:type="page"/>
      </w:r>
    </w:p>
    <w:p>
      <w:pPr>
        <w:spacing w:before="0" w:after="240" w:line="360" w:lineRule="auto"/>
        <w:jc w:val="center"/>
      </w:pPr>
      <w:r>
        <w:rPr>
          <w:rFonts w:ascii="Times New Roman" w:hAnsi="Times New Roman"/>
          <w:b/>
          <w:i w:val="0"/>
          <w:sz w:val="26"/>
        </w:rPr>
        <w:t>Supplementary Tables</w:t>
      </w:r>
    </w:p>
    <w:p>
      <w:pPr>
        <w:spacing w:before="160" w:after="120" w:line="276" w:lineRule="auto"/>
      </w:pPr>
      <w:r>
        <w:rPr>
          <w:rFonts w:ascii="Times New Roman" w:hAnsi="Times New Roman"/>
          <w:b/>
          <w:sz w:val="24"/>
        </w:rPr>
        <w:t>Supplementary Table S1. Pre-specified sensitivity arms (nodule grain)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F4E7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Arm</w:t>
            </w:r>
          </w:p>
        </w:tc>
        <w:tc>
          <w:tcPr>
            <w:tcW w:type="dxa" w:w="3120"/>
            <w:shd w:val="clear" w:color="auto" w:fill="1F4E7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n nodules</w:t>
            </w:r>
          </w:p>
        </w:tc>
        <w:tc>
          <w:tcPr>
            <w:tcW w:type="dxa" w:w="3120"/>
            <w:shd w:val="clear" w:color="auto" w:fill="1F4E7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Per-TR ROM and threshold metrics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Primary (strict)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3,687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TR4 ROM 18.7% [16.3–21.5]; TR5 ROM 26.1% [23.7–28.6]</w:t>
            </w:r>
          </w:p>
        </w:tc>
      </w:tr>
      <w:tr>
        <w:tc>
          <w:tcPr>
            <w:tcW w:type="dxa" w:w="3120"/>
            <w:vAlign w:val="center"/>
            <w:shd w:val="clear" w:color="auto" w:fill="F4F7FB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S1A relaxed gate</w:t>
            </w:r>
          </w:p>
        </w:tc>
        <w:tc>
          <w:tcPr>
            <w:tcW w:type="dxa" w:w="3120"/>
            <w:vAlign w:val="center"/>
            <w:shd w:val="clear" w:color="auto" w:fill="F4F7FB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15,309</w:t>
            </w:r>
          </w:p>
        </w:tc>
        <w:tc>
          <w:tcPr>
            <w:tcW w:type="dxa" w:w="3120"/>
            <w:vAlign w:val="center"/>
            <w:shd w:val="clear" w:color="auto" w:fill="F4F7FB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TR4 ROM ~23.0%; PPV 23.1%, Sens 44.6%, Spec 78.0% at TR≥TR4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S1B first-US-only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≈3,687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Identical to primary (nodule_master_id deduplicates)</w:t>
            </w:r>
          </w:p>
        </w:tc>
      </w:tr>
      <w:tr>
        <w:tc>
          <w:tcPr>
            <w:tcW w:type="dxa" w:w="3120"/>
            <w:vAlign w:val="center"/>
            <w:shd w:val="clear" w:color="auto" w:fill="F4F7FB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S1C single-nodule pts</w:t>
            </w:r>
          </w:p>
        </w:tc>
        <w:tc>
          <w:tcPr>
            <w:tcW w:type="dxa" w:w="3120"/>
            <w:vAlign w:val="center"/>
            <w:shd w:val="clear" w:color="auto" w:fill="F4F7FB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782</w:t>
            </w:r>
          </w:p>
        </w:tc>
        <w:tc>
          <w:tcPr>
            <w:tcW w:type="dxa" w:w="3120"/>
            <w:vAlign w:val="center"/>
            <w:shd w:val="clear" w:color="auto" w:fill="F4F7FB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TR4 ROM 30.7%; TR5 ROM 34.9% (selection effect)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S1D unilateral path-only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TR4 ROM 8.5%; TR5 ROM 10.7% (conservative bilateral exclusion)</w:t>
            </w:r>
          </w:p>
        </w:tc>
      </w:tr>
    </w:tbl>
    <w:p>
      <w:pPr>
        <w:spacing w:before="160" w:after="120" w:line="276" w:lineRule="auto"/>
      </w:pPr>
      <w:r>
        <w:rPr>
          <w:rFonts w:ascii="Times New Roman" w:hAnsi="Times New Roman"/>
          <w:b/>
          <w:sz w:val="24"/>
        </w:rPr>
        <w:t>Supplementary Table S2. Pre-specified era split (boundary 2017-05-01)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4E7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Era</w:t>
            </w:r>
          </w:p>
        </w:tc>
        <w:tc>
          <w:tcPr>
            <w:tcW w:type="dxa" w:w="2340"/>
            <w:shd w:val="clear" w:color="auto" w:fill="1F4E7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Grain</w:t>
            </w:r>
          </w:p>
        </w:tc>
        <w:tc>
          <w:tcPr>
            <w:tcW w:type="dxa" w:w="2340"/>
            <w:shd w:val="clear" w:color="auto" w:fill="1F4E7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n</w:t>
            </w:r>
          </w:p>
        </w:tc>
        <w:tc>
          <w:tcPr>
            <w:tcW w:type="dxa" w:w="2340"/>
            <w:shd w:val="clear" w:color="auto" w:fill="1F4E7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Per-TR ROM (TR3 / TR4 / TR5)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Pre-2017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Patient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422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TR3 24.8% / TR4 40.4% / TR5 64.8%</w:t>
            </w:r>
          </w:p>
        </w:tc>
      </w:tr>
      <w:tr>
        <w:tc>
          <w:tcPr>
            <w:tcW w:type="dxa" w:w="2340"/>
            <w:vAlign w:val="center"/>
            <w:shd w:val="clear" w:color="auto" w:fill="F4F7FB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Post-2017</w:t>
            </w:r>
          </w:p>
        </w:tc>
        <w:tc>
          <w:tcPr>
            <w:tcW w:type="dxa" w:w="2340"/>
            <w:vAlign w:val="center"/>
            <w:shd w:val="clear" w:color="auto" w:fill="F4F7FB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Patient</w:t>
            </w:r>
          </w:p>
        </w:tc>
        <w:tc>
          <w:tcPr>
            <w:tcW w:type="dxa" w:w="2340"/>
            <w:vAlign w:val="center"/>
            <w:shd w:val="clear" w:color="auto" w:fill="F4F7FB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2,953</w:t>
            </w:r>
          </w:p>
        </w:tc>
        <w:tc>
          <w:tcPr>
            <w:tcW w:type="dxa" w:w="2340"/>
            <w:vAlign w:val="center"/>
            <w:shd w:val="clear" w:color="auto" w:fill="F4F7FB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TR3 28.0% / TR4 48.2% / TR5 58.1%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Pre-2017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Nodule (strict)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381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TR3 13.2% / TR4 24.7% / TR5 41.6%</w:t>
            </w:r>
          </w:p>
        </w:tc>
      </w:tr>
      <w:tr>
        <w:tc>
          <w:tcPr>
            <w:tcW w:type="dxa" w:w="2340"/>
            <w:vAlign w:val="center"/>
            <w:shd w:val="clear" w:color="auto" w:fill="F4F7FB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Post-2017</w:t>
            </w:r>
          </w:p>
        </w:tc>
        <w:tc>
          <w:tcPr>
            <w:tcW w:type="dxa" w:w="2340"/>
            <w:vAlign w:val="center"/>
            <w:shd w:val="clear" w:color="auto" w:fill="F4F7FB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Nodule (strict)</w:t>
            </w:r>
          </w:p>
        </w:tc>
        <w:tc>
          <w:tcPr>
            <w:tcW w:type="dxa" w:w="2340"/>
            <w:vAlign w:val="center"/>
            <w:shd w:val="clear" w:color="auto" w:fill="F4F7FB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3,306</w:t>
            </w:r>
          </w:p>
        </w:tc>
        <w:tc>
          <w:tcPr>
            <w:tcW w:type="dxa" w:w="2340"/>
            <w:vAlign w:val="center"/>
            <w:shd w:val="clear" w:color="auto" w:fill="F4F7FB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TR3 8.6% / TR4 18.0% / TR5 24.4% (within ACR bands)</w:t>
            </w:r>
          </w:p>
        </w:tc>
      </w:tr>
    </w:tbl>
    <w:p>
      <w:pPr>
        <w:spacing w:before="160" w:after="120" w:line="276" w:lineRule="auto"/>
      </w:pPr>
      <w:r>
        <w:rPr>
          <w:rFonts w:ascii="Times New Roman" w:hAnsi="Times New Roman"/>
          <w:b/>
          <w:sz w:val="24"/>
        </w:rPr>
        <w:t>Supplementary Table S3. Time-window sensitivity for per-nodule path matching (strict-eligible nodule grain)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shd w:val="clear" w:color="auto" w:fill="1F4E7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TR cat.</w:t>
            </w:r>
          </w:p>
        </w:tc>
        <w:tc>
          <w:tcPr>
            <w:tcW w:type="dxa" w:w="1170"/>
            <w:shd w:val="clear" w:color="auto" w:fill="1F4E7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n total</w:t>
            </w:r>
          </w:p>
        </w:tc>
        <w:tc>
          <w:tcPr>
            <w:tcW w:type="dxa" w:w="1170"/>
            <w:shd w:val="clear" w:color="auto" w:fill="1F4E7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ROM 365 d</w:t>
            </w:r>
          </w:p>
        </w:tc>
        <w:tc>
          <w:tcPr>
            <w:tcW w:type="dxa" w:w="1170"/>
            <w:shd w:val="clear" w:color="auto" w:fill="1F4E7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ROM 180 d</w:t>
            </w:r>
          </w:p>
        </w:tc>
        <w:tc>
          <w:tcPr>
            <w:tcW w:type="dxa" w:w="1170"/>
            <w:shd w:val="clear" w:color="auto" w:fill="1F4E7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ROM 90 d</w:t>
            </w:r>
          </w:p>
        </w:tc>
        <w:tc>
          <w:tcPr>
            <w:tcW w:type="dxa" w:w="1170"/>
            <w:shd w:val="clear" w:color="auto" w:fill="1F4E7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ROM 30 d</w:t>
            </w:r>
          </w:p>
        </w:tc>
        <w:tc>
          <w:tcPr>
            <w:tcW w:type="dxa" w:w="1170"/>
            <w:shd w:val="clear" w:color="auto" w:fill="1F4E7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Median d to mal. surg.</w:t>
            </w:r>
          </w:p>
        </w:tc>
        <w:tc>
          <w:tcPr>
            <w:tcW w:type="dxa" w:w="1170"/>
            <w:shd w:val="clear" w:color="auto" w:fill="1F4E7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75th %ile d</w:t>
            </w:r>
          </w:p>
        </w:tc>
      </w:tr>
      <w:tr>
        <w:tc>
          <w:tcPr>
            <w:tcW w:type="dxa" w:w="117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TR2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31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12.9%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12.9%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12.9%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9.7%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27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29</w:t>
            </w:r>
          </w:p>
        </w:tc>
      </w:tr>
      <w:tr>
        <w:tc>
          <w:tcPr>
            <w:tcW w:type="dxa" w:w="1170"/>
            <w:vAlign w:val="center"/>
            <w:shd w:val="clear" w:color="auto" w:fill="F4F7FB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TR3</w:t>
            </w:r>
          </w:p>
        </w:tc>
        <w:tc>
          <w:tcPr>
            <w:tcW w:type="dxa" w:w="1170"/>
            <w:vAlign w:val="center"/>
            <w:shd w:val="clear" w:color="auto" w:fill="F4F7FB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1,555</w:t>
            </w:r>
          </w:p>
        </w:tc>
        <w:tc>
          <w:tcPr>
            <w:tcW w:type="dxa" w:w="1170"/>
            <w:vAlign w:val="center"/>
            <w:shd w:val="clear" w:color="auto" w:fill="F4F7FB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9.13%</w:t>
            </w:r>
          </w:p>
        </w:tc>
        <w:tc>
          <w:tcPr>
            <w:tcW w:type="dxa" w:w="1170"/>
            <w:vAlign w:val="center"/>
            <w:shd w:val="clear" w:color="auto" w:fill="F4F7FB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7.40%</w:t>
            </w:r>
          </w:p>
        </w:tc>
        <w:tc>
          <w:tcPr>
            <w:tcW w:type="dxa" w:w="1170"/>
            <w:vAlign w:val="center"/>
            <w:shd w:val="clear" w:color="auto" w:fill="F4F7FB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4.95%</w:t>
            </w:r>
          </w:p>
        </w:tc>
        <w:tc>
          <w:tcPr>
            <w:tcW w:type="dxa" w:w="1170"/>
            <w:vAlign w:val="center"/>
            <w:shd w:val="clear" w:color="auto" w:fill="F4F7FB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2.12%</w:t>
            </w:r>
          </w:p>
        </w:tc>
        <w:tc>
          <w:tcPr>
            <w:tcW w:type="dxa" w:w="1170"/>
            <w:vAlign w:val="center"/>
            <w:shd w:val="clear" w:color="auto" w:fill="F4F7FB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77</w:t>
            </w:r>
          </w:p>
        </w:tc>
        <w:tc>
          <w:tcPr>
            <w:tcW w:type="dxa" w:w="1170"/>
            <w:vAlign w:val="center"/>
            <w:shd w:val="clear" w:color="auto" w:fill="F4F7FB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153</w:t>
            </w:r>
          </w:p>
        </w:tc>
      </w:tr>
      <w:tr>
        <w:tc>
          <w:tcPr>
            <w:tcW w:type="dxa" w:w="117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TR4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860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18.72%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15.7%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11.3%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6.05%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73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125</w:t>
            </w:r>
          </w:p>
        </w:tc>
      </w:tr>
      <w:tr>
        <w:tc>
          <w:tcPr>
            <w:tcW w:type="dxa" w:w="1170"/>
            <w:vAlign w:val="center"/>
            <w:shd w:val="clear" w:color="auto" w:fill="F4F7FB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TR5</w:t>
            </w:r>
          </w:p>
        </w:tc>
        <w:tc>
          <w:tcPr>
            <w:tcW w:type="dxa" w:w="1170"/>
            <w:vAlign w:val="center"/>
            <w:shd w:val="clear" w:color="auto" w:fill="F4F7FB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1,241</w:t>
            </w:r>
          </w:p>
        </w:tc>
        <w:tc>
          <w:tcPr>
            <w:tcW w:type="dxa" w:w="1170"/>
            <w:vAlign w:val="center"/>
            <w:shd w:val="clear" w:color="auto" w:fill="F4F7FB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26.11%</w:t>
            </w:r>
          </w:p>
        </w:tc>
        <w:tc>
          <w:tcPr>
            <w:tcW w:type="dxa" w:w="1170"/>
            <w:vAlign w:val="center"/>
            <w:shd w:val="clear" w:color="auto" w:fill="F4F7FB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22.16%</w:t>
            </w:r>
          </w:p>
        </w:tc>
        <w:tc>
          <w:tcPr>
            <w:tcW w:type="dxa" w:w="1170"/>
            <w:vAlign w:val="center"/>
            <w:shd w:val="clear" w:color="auto" w:fill="F4F7FB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16.76%</w:t>
            </w:r>
          </w:p>
        </w:tc>
        <w:tc>
          <w:tcPr>
            <w:tcW w:type="dxa" w:w="1170"/>
            <w:vAlign w:val="center"/>
            <w:shd w:val="clear" w:color="auto" w:fill="F4F7FB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8.94%</w:t>
            </w:r>
          </w:p>
        </w:tc>
        <w:tc>
          <w:tcPr>
            <w:tcW w:type="dxa" w:w="1170"/>
            <w:vAlign w:val="center"/>
            <w:shd w:val="clear" w:color="auto" w:fill="F4F7FB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58</w:t>
            </w:r>
          </w:p>
        </w:tc>
        <w:tc>
          <w:tcPr>
            <w:tcW w:type="dxa" w:w="1170"/>
            <w:vAlign w:val="center"/>
            <w:shd w:val="clear" w:color="auto" w:fill="F4F7FB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115</w:t>
            </w:r>
          </w:p>
        </w:tc>
      </w:tr>
    </w:tbl>
    <w:p>
      <w:pPr>
        <w:spacing w:before="160" w:after="120" w:line="276" w:lineRule="auto"/>
      </w:pPr>
      <w:r>
        <w:rPr>
          <w:rFonts w:ascii="Times New Roman" w:hAnsi="Times New Roman"/>
          <w:b/>
          <w:sz w:val="24"/>
        </w:rPr>
        <w:t>Supplementary Table S4. Subgroup-stratified per-TR ROM (patient grain)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color="auto" w:fill="1F4E7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Stratum</w:t>
            </w:r>
          </w:p>
        </w:tc>
        <w:tc>
          <w:tcPr>
            <w:tcW w:type="dxa" w:w="1560"/>
            <w:shd w:val="clear" w:color="auto" w:fill="1F4E7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TR1</w:t>
            </w:r>
          </w:p>
        </w:tc>
        <w:tc>
          <w:tcPr>
            <w:tcW w:type="dxa" w:w="1560"/>
            <w:shd w:val="clear" w:color="auto" w:fill="1F4E7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TR2</w:t>
            </w:r>
          </w:p>
        </w:tc>
        <w:tc>
          <w:tcPr>
            <w:tcW w:type="dxa" w:w="1560"/>
            <w:shd w:val="clear" w:color="auto" w:fill="1F4E7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TR3</w:t>
            </w:r>
          </w:p>
        </w:tc>
        <w:tc>
          <w:tcPr>
            <w:tcW w:type="dxa" w:w="1560"/>
            <w:shd w:val="clear" w:color="auto" w:fill="1F4E7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TR4</w:t>
            </w:r>
          </w:p>
        </w:tc>
        <w:tc>
          <w:tcPr>
            <w:tcW w:type="dxa" w:w="1560"/>
            <w:shd w:val="clear" w:color="auto" w:fill="1F4E7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TR5</w:t>
            </w:r>
          </w:p>
        </w:tc>
      </w:tr>
      <w:tr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Female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26.6%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28.9%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26.2%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44.8%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55.8%</w:t>
            </w:r>
          </w:p>
        </w:tc>
      </w:tr>
      <w:tr>
        <w:tc>
          <w:tcPr>
            <w:tcW w:type="dxa" w:w="1560"/>
            <w:vAlign w:val="center"/>
            <w:shd w:val="clear" w:color="auto" w:fill="F4F7FB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Male</w:t>
            </w:r>
          </w:p>
        </w:tc>
        <w:tc>
          <w:tcPr>
            <w:tcW w:type="dxa" w:w="1560"/>
            <w:vAlign w:val="center"/>
            <w:shd w:val="clear" w:color="auto" w:fill="F4F7FB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36.2%</w:t>
            </w:r>
          </w:p>
        </w:tc>
        <w:tc>
          <w:tcPr>
            <w:tcW w:type="dxa" w:w="1560"/>
            <w:vAlign w:val="center"/>
            <w:shd w:val="clear" w:color="auto" w:fill="F4F7FB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50.0%</w:t>
            </w:r>
          </w:p>
        </w:tc>
        <w:tc>
          <w:tcPr>
            <w:tcW w:type="dxa" w:w="1560"/>
            <w:vAlign w:val="center"/>
            <w:shd w:val="clear" w:color="auto" w:fill="F4F7FB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33.5%</w:t>
            </w:r>
          </w:p>
        </w:tc>
        <w:tc>
          <w:tcPr>
            <w:tcW w:type="dxa" w:w="1560"/>
            <w:vAlign w:val="center"/>
            <w:shd w:val="clear" w:color="auto" w:fill="F4F7FB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57.9%</w:t>
            </w:r>
          </w:p>
        </w:tc>
        <w:tc>
          <w:tcPr>
            <w:tcW w:type="dxa" w:w="1560"/>
            <w:vAlign w:val="center"/>
            <w:shd w:val="clear" w:color="auto" w:fill="F4F7FB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68.2%</w:t>
            </w:r>
          </w:p>
        </w:tc>
      </w:tr>
      <w:tr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Age &lt;40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38.2%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42.1%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40.7%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57.1%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78.4%</w:t>
            </w:r>
          </w:p>
        </w:tc>
      </w:tr>
      <w:tr>
        <w:tc>
          <w:tcPr>
            <w:tcW w:type="dxa" w:w="1560"/>
            <w:vAlign w:val="center"/>
            <w:shd w:val="clear" w:color="auto" w:fill="F4F7FB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Age 40–54</w:t>
            </w:r>
          </w:p>
        </w:tc>
        <w:tc>
          <w:tcPr>
            <w:tcW w:type="dxa" w:w="1560"/>
            <w:vAlign w:val="center"/>
            <w:shd w:val="clear" w:color="auto" w:fill="F4F7FB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20.4%</w:t>
            </w:r>
          </w:p>
        </w:tc>
        <w:tc>
          <w:tcPr>
            <w:tcW w:type="dxa" w:w="1560"/>
            <w:vAlign w:val="center"/>
            <w:shd w:val="clear" w:color="auto" w:fill="F4F7FB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29.4%</w:t>
            </w:r>
          </w:p>
        </w:tc>
        <w:tc>
          <w:tcPr>
            <w:tcW w:type="dxa" w:w="1560"/>
            <w:vAlign w:val="center"/>
            <w:shd w:val="clear" w:color="auto" w:fill="F4F7FB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26.6%</w:t>
            </w:r>
          </w:p>
        </w:tc>
        <w:tc>
          <w:tcPr>
            <w:tcW w:type="dxa" w:w="1560"/>
            <w:vAlign w:val="center"/>
            <w:shd w:val="clear" w:color="auto" w:fill="F4F7FB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47.8%</w:t>
            </w:r>
          </w:p>
        </w:tc>
        <w:tc>
          <w:tcPr>
            <w:tcW w:type="dxa" w:w="1560"/>
            <w:vAlign w:val="center"/>
            <w:shd w:val="clear" w:color="auto" w:fill="F4F7FB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57.2%</w:t>
            </w:r>
          </w:p>
        </w:tc>
      </w:tr>
      <w:tr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Age 55–69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27.1%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27.9%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19.9%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46.5%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51.3%</w:t>
            </w:r>
          </w:p>
        </w:tc>
      </w:tr>
      <w:tr>
        <w:tc>
          <w:tcPr>
            <w:tcW w:type="dxa" w:w="1560"/>
            <w:vAlign w:val="center"/>
            <w:shd w:val="clear" w:color="auto" w:fill="F4F7FB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Age ≥70</w:t>
            </w:r>
          </w:p>
        </w:tc>
        <w:tc>
          <w:tcPr>
            <w:tcW w:type="dxa" w:w="1560"/>
            <w:vAlign w:val="center"/>
            <w:shd w:val="clear" w:color="auto" w:fill="F4F7FB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34.1%</w:t>
            </w:r>
          </w:p>
        </w:tc>
        <w:tc>
          <w:tcPr>
            <w:tcW w:type="dxa" w:w="1560"/>
            <w:vAlign w:val="center"/>
            <w:shd w:val="clear" w:color="auto" w:fill="F4F7FB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35.9%</w:t>
            </w:r>
          </w:p>
        </w:tc>
        <w:tc>
          <w:tcPr>
            <w:tcW w:type="dxa" w:w="1560"/>
            <w:vAlign w:val="center"/>
            <w:shd w:val="clear" w:color="auto" w:fill="F4F7FB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30.4%</w:t>
            </w:r>
          </w:p>
        </w:tc>
        <w:tc>
          <w:tcPr>
            <w:tcW w:type="dxa" w:w="1560"/>
            <w:vAlign w:val="center"/>
            <w:shd w:val="clear" w:color="auto" w:fill="F4F7FB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38.0%</w:t>
            </w:r>
          </w:p>
        </w:tc>
        <w:tc>
          <w:tcPr>
            <w:tcW w:type="dxa" w:w="1560"/>
            <w:vAlign w:val="center"/>
            <w:shd w:val="clear" w:color="auto" w:fill="F4F7FB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52.5%</w:t>
            </w:r>
          </w:p>
        </w:tc>
      </w:tr>
    </w:tbl>
    <w:p>
      <w:pPr>
        <w:spacing w:before="160" w:after="120" w:line="276" w:lineRule="auto"/>
      </w:pPr>
      <w:r>
        <w:rPr>
          <w:rFonts w:ascii="Times New Roman" w:hAnsi="Times New Roman"/>
          <w:b/>
          <w:sz w:val="24"/>
        </w:rPr>
        <w:t>Supplementary Table S5. mig_264 Bethesda-II false-negative audit dispositions (n = 360)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F4E7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Disposition</w:t>
            </w:r>
          </w:p>
        </w:tc>
        <w:tc>
          <w:tcPr>
            <w:tcW w:type="dxa" w:w="3120"/>
            <w:shd w:val="clear" w:color="auto" w:fill="1F4E7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n</w:t>
            </w:r>
          </w:p>
        </w:tc>
        <w:tc>
          <w:tcPr>
            <w:tcW w:type="dxa" w:w="3120"/>
            <w:shd w:val="clear" w:color="auto" w:fill="1F4E7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% of audited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True false-negative cytology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13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3.6%</w:t>
            </w:r>
          </w:p>
        </w:tc>
      </w:tr>
      <w:tr>
        <w:tc>
          <w:tcPr>
            <w:tcW w:type="dxa" w:w="3120"/>
            <w:vAlign w:val="center"/>
            <w:shd w:val="clear" w:color="auto" w:fill="F4F7FB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Multinodular attribution</w:t>
            </w:r>
          </w:p>
        </w:tc>
        <w:tc>
          <w:tcPr>
            <w:tcW w:type="dxa" w:w="3120"/>
            <w:vAlign w:val="center"/>
            <w:shd w:val="clear" w:color="auto" w:fill="F4F7FB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21</w:t>
            </w:r>
          </w:p>
        </w:tc>
        <w:tc>
          <w:tcPr>
            <w:tcW w:type="dxa" w:w="3120"/>
            <w:vAlign w:val="center"/>
            <w:shd w:val="clear" w:color="auto" w:fill="F4F7FB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5.8%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Coverage gap (no FNA-path bridge)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173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48.1%</w:t>
            </w:r>
          </w:p>
        </w:tc>
      </w:tr>
      <w:tr>
        <w:tc>
          <w:tcPr>
            <w:tcW w:type="dxa" w:w="3120"/>
            <w:vAlign w:val="center"/>
            <w:shd w:val="clear" w:color="auto" w:fill="F4F7FB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Path-bridge timing artifact</w:t>
            </w:r>
          </w:p>
        </w:tc>
        <w:tc>
          <w:tcPr>
            <w:tcW w:type="dxa" w:w="3120"/>
            <w:vAlign w:val="center"/>
            <w:shd w:val="clear" w:color="auto" w:fill="F4F7FB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12</w:t>
            </w:r>
          </w:p>
        </w:tc>
        <w:tc>
          <w:tcPr>
            <w:tcW w:type="dxa" w:w="3120"/>
            <w:vAlign w:val="center"/>
            <w:shd w:val="clear" w:color="auto" w:fill="F4F7FB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3.3%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Other / under review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141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39.2%</w:t>
            </w:r>
          </w:p>
        </w:tc>
      </w:tr>
    </w:tbl>
    <w:p>
      <w:pPr>
        <w:spacing w:before="160" w:after="120" w:line="276" w:lineRule="auto"/>
      </w:pPr>
      <w:r>
        <w:rPr>
          <w:rFonts w:ascii="Times New Roman" w:hAnsi="Times New Roman"/>
          <w:b/>
          <w:sz w:val="24"/>
        </w:rPr>
        <w:t>Supplementary Table S6. ACR 2017 FNA-eligibility rule application summary (patient grain)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F4E7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Audit cell</w:t>
            </w:r>
          </w:p>
        </w:tc>
        <w:tc>
          <w:tcPr>
            <w:tcW w:type="dxa" w:w="3120"/>
            <w:shd w:val="clear" w:color="auto" w:fill="1F4E7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n</w:t>
            </w:r>
          </w:p>
        </w:tc>
        <w:tc>
          <w:tcPr>
            <w:tcW w:type="dxa" w:w="3120"/>
            <w:shd w:val="clear" w:color="auto" w:fill="1F4E7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Comment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Total FNAs performed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3,375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Patient cohort denominator</w:t>
            </w:r>
          </w:p>
        </w:tc>
      </w:tr>
      <w:tr>
        <w:tc>
          <w:tcPr>
            <w:tcW w:type="dxa" w:w="3120"/>
            <w:vAlign w:val="center"/>
            <w:shd w:val="clear" w:color="auto" w:fill="F4F7FB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FNAs warranted by ACR rule</w:t>
            </w:r>
          </w:p>
        </w:tc>
        <w:tc>
          <w:tcPr>
            <w:tcW w:type="dxa" w:w="3120"/>
            <w:vAlign w:val="center"/>
            <w:shd w:val="clear" w:color="auto" w:fill="F4F7FB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1,822</w:t>
            </w:r>
          </w:p>
        </w:tc>
        <w:tc>
          <w:tcPr>
            <w:tcW w:type="dxa" w:w="3120"/>
            <w:vAlign w:val="center"/>
            <w:shd w:val="clear" w:color="auto" w:fill="F4F7FB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Above ACR size-threshold for TR-cell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Unnecessary FNAs by ACR rule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1,553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TR&lt;TR3 or below TR-size threshold (46.0%)</w:t>
            </w:r>
          </w:p>
        </w:tc>
      </w:tr>
      <w:tr>
        <w:tc>
          <w:tcPr>
            <w:tcW w:type="dxa" w:w="3120"/>
            <w:vAlign w:val="center"/>
            <w:shd w:val="clear" w:color="auto" w:fill="F4F7FB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Total cancers in cohort</w:t>
            </w:r>
          </w:p>
        </w:tc>
        <w:tc>
          <w:tcPr>
            <w:tcW w:type="dxa" w:w="3120"/>
            <w:vAlign w:val="center"/>
            <w:shd w:val="clear" w:color="auto" w:fill="F4F7FB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1,479</w:t>
            </w:r>
          </w:p>
        </w:tc>
        <w:tc>
          <w:tcPr>
            <w:tcW w:type="dxa" w:w="3120"/>
            <w:vAlign w:val="center"/>
            <w:shd w:val="clear" w:color="auto" w:fill="F4F7FB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Cancers above ACR threshold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1,007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ACR-detectable</w:t>
            </w:r>
          </w:p>
        </w:tc>
      </w:tr>
      <w:tr>
        <w:tc>
          <w:tcPr>
            <w:tcW w:type="dxa" w:w="3120"/>
            <w:vAlign w:val="center"/>
            <w:shd w:val="clear" w:color="auto" w:fill="F4F7FB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Cancers below ACR threshold</w:t>
            </w:r>
          </w:p>
        </w:tc>
        <w:tc>
          <w:tcPr>
            <w:tcW w:type="dxa" w:w="3120"/>
            <w:vAlign w:val="center"/>
            <w:shd w:val="clear" w:color="auto" w:fill="F4F7FB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472</w:t>
            </w:r>
          </w:p>
        </w:tc>
        <w:tc>
          <w:tcPr>
            <w:tcW w:type="dxa" w:w="3120"/>
            <w:vAlign w:val="center"/>
            <w:shd w:val="clear" w:color="auto" w:fill="F4F7FB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False-negatives of ACR rule (15.0% of malignancies)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