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 w:before="0"/>
      </w:pPr>
      <w:r>
        <w:rPr>
          <w:b/>
          <w:bCs/>
          <w:sz w:val="32"/>
          <w:szCs w:val="32"/>
        </w:rPr>
        <w:t xml:space="preserve">Supplement — M044 Microscopic vs Gross ETE Manuscript</w:t>
      </w:r>
    </w:p>
    <w:p>
      <w:pPr>
        <w:spacing w:after="120" w:before="0" w:line="360"/>
      </w:pPr>
      <w:r>
        <w:rPr>
          <w:b/>
          <w:bCs/>
        </w:rPr>
        <w:t xml:space="preserve">Companion to:</w:t>
      </w:r>
      <w: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M044_ETE_manuscript_draft.md</w:t>
      </w:r>
    </w:p>
    <w:p>
      <w:pPr>
        <w:spacing w:after="120" w:before="0" w:line="360"/>
      </w:pPr>
      <w:r>
        <w:rPr>
          <w:b/>
          <w:bCs/>
        </w:rPr>
        <w:t xml:space="preserve">Date:</w:t>
      </w:r>
      <w:r>
        <w:t xml:space="preserve"> 2026-05-01</w:t>
      </w:r>
    </w:p>
    <w:p>
      <w:pPr>
        <w:spacing w:after="120" w:before="0" w:line="360"/>
      </w:pPr>
      <w:r>
        <w:rPr>
          <w:b/>
          <w:bCs/>
        </w:rPr>
        <w:t xml:space="preserve">Database:</w:t>
      </w:r>
      <w: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thyroid_canonical_publication_v1_0</w:t>
      </w:r>
    </w:p>
    <w:p>
      <w:pPr>
        <w:pStyle w:val="Heading1"/>
        <w:spacing w:after="180" w:before="360"/>
      </w:pPr>
      <w:r>
        <w:rPr>
          <w:b/>
          <w:bCs/>
          <w:sz w:val="28"/>
          <w:szCs w:val="28"/>
        </w:rPr>
        <w:t xml:space="preserve">S1. Supplementary methods</w:t>
      </w:r>
    </w:p>
    <w:p>
      <w:pPr>
        <w:pStyle w:val="Heading2"/>
        <w:spacing w:after="120" w:before="300"/>
      </w:pPr>
      <w:r>
        <w:rPr>
          <w:b/>
          <w:bCs/>
          <w:sz w:val="24"/>
          <w:szCs w:val="24"/>
        </w:rPr>
        <w:t xml:space="preserve">S1.1 Cohort construction details</w:t>
      </w:r>
    </w:p>
    <w:p>
      <w:pPr>
        <w:spacing w:after="120" w:before="0" w:line="360"/>
      </w:pPr>
      <w:r>
        <w:t xml:space="preserve">The analytic cohort is the materialized one-row-per-patient view </w:t>
      </w:r>
      <w:r>
        <w:rPr>
          <w:rFonts w:ascii="Courier New" w:cs="Courier New" w:eastAsia="Courier New" w:hAnsi="Courier New"/>
          <w:sz w:val="20"/>
          <w:szCs w:val="20"/>
        </w:rPr>
        <w:t xml:space="preserve">manuscript_workspace.cohort_m044_ajcc_ete_v1</w:t>
      </w:r>
      <w:r>
        <w:t xml:space="preserve"> (n=4,128). The cohort view is built upstream by the THYROID_2026 ETE-resolution pipeline that combines three source streams: (1) extraction-audit-engine v7 outputs, (2) script_390 rule-A consolidation (2026-04-22), and (3) tumor-episode master v2 reconciliation. Each row is uniquely keyed on </w:t>
      </w:r>
      <w:r>
        <w:rPr>
          <w:rFonts w:ascii="Courier New" w:cs="Courier New" w:eastAsia="Courier New" w:hAnsi="Courier New"/>
          <w:sz w:val="20"/>
          <w:szCs w:val="20"/>
        </w:rPr>
        <w:t xml:space="preserve">research_id</w:t>
      </w:r>
      <w:r>
        <w:t xml:space="preserve"> and the upstream pipeline guarantees no patient duplication.</w:t>
      </w:r>
    </w:p>
    <w:p>
      <w:pPr>
        <w:spacing w:after="120" w:before="0" w:line="360"/>
      </w:pPr>
      <w:r>
        <w:t xml:space="preserve">ETE source provenance was retained to trace source-by-grade interactions (reported in the validation report, §2.2). Dominant </w:t>
      </w:r>
      <w:r>
        <w:rPr>
          <w:rFonts w:ascii="Courier New" w:cs="Courier New" w:eastAsia="Courier New" w:hAnsi="Courier New"/>
          <w:sz w:val="20"/>
          <w:szCs w:val="20"/>
        </w:rPr>
        <w:t xml:space="preserve">ete_grade_source</w:t>
      </w:r>
      <w:r>
        <w:t xml:space="preserve"> distributions are: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extraction_audit_engine_v7</w:t>
      </w:r>
      <w:r>
        <w:t xml:space="preserve"> — primary path, used for the bulk of microscopic and gross ETE assignments.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script_390_rule_a_20260422</w:t>
      </w:r>
      <w:r>
        <w:t xml:space="preserve"> — consolidation rule applied to gross-ETE-flag-positive patients with absent or conflicting synoptic ETE labels.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tumor_episode_master_v2</w:t>
      </w:r>
      <w:r>
        <w:t xml:space="preserve"> — fallback for negative/no-ETE (</w:t>
      </w:r>
      <w:r>
        <w:rPr>
          <w:rFonts w:ascii="Courier New" w:cs="Courier New" w:eastAsia="Courier New" w:hAnsi="Courier New"/>
          <w:sz w:val="20"/>
          <w:szCs w:val="20"/>
        </w:rPr>
        <w:t xml:space="preserve">'false'</w:t>
      </w:r>
      <w:r>
        <w:t xml:space="preserve">/</w:t>
      </w:r>
      <w:r>
        <w:rPr>
          <w:rFonts w:ascii="Courier New" w:cs="Courier New" w:eastAsia="Courier New" w:hAnsi="Courier New"/>
          <w:sz w:val="20"/>
          <w:szCs w:val="20"/>
        </w:rPr>
        <w:t xml:space="preserve">'absent'</w:t>
      </w:r>
      <w:r>
        <w:t xml:space="preserve">) and for the small </w:t>
      </w:r>
      <w:r>
        <w:rPr>
          <w:rFonts w:ascii="Courier New" w:cs="Courier New" w:eastAsia="Courier New" w:hAnsi="Courier New"/>
          <w:sz w:val="20"/>
          <w:szCs w:val="20"/>
        </w:rPr>
        <w:t xml:space="preserve">'true'</w:t>
      </w:r>
      <w:r>
        <w:t xml:space="preserve"> ambiguous bucket.</w:t>
      </w:r>
    </w:p>
    <w:p>
      <w:pPr>
        <w:spacing w:after="120" w:before="0" w:line="360"/>
      </w:pPr>
      <w:r>
        <w:t xml:space="preserve">The 4 </w:t>
      </w:r>
      <w:r>
        <w:rPr>
          <w:rFonts w:ascii="Courier New" w:cs="Courier New" w:eastAsia="Courier New" w:hAnsi="Courier New"/>
          <w:sz w:val="20"/>
          <w:szCs w:val="20"/>
        </w:rPr>
        <w:t xml:space="preserve">ete_grade_final='true'</w:t>
      </w:r>
      <w:r>
        <w:t xml:space="preserve"> rows from </w:t>
      </w:r>
      <w:r>
        <w:rPr>
          <w:rFonts w:ascii="Courier New" w:cs="Courier New" w:eastAsia="Courier New" w:hAnsi="Courier New"/>
          <w:sz w:val="20"/>
          <w:szCs w:val="20"/>
        </w:rPr>
        <w:t xml:space="preserve">tumor_episode_master_v2</w:t>
      </w:r>
      <w:r>
        <w:t xml:space="preserve"> were grouped into Missing/other in the primary classification (per ChatGPT’s handoff). A reclassification with these 4 rows split into Gross (n=2 with </w:t>
      </w:r>
      <w:r>
        <w:rPr>
          <w:rFonts w:ascii="Courier New" w:cs="Courier New" w:eastAsia="Courier New" w:hAnsi="Courier New"/>
          <w:sz w:val="20"/>
          <w:szCs w:val="20"/>
        </w:rPr>
        <w:t xml:space="preserve">ete_grade='gross'</w:t>
      </w:r>
      <w:r>
        <w:t xml:space="preserve">) and Present-ungraded (n=2) is provided in </w:t>
      </w:r>
      <w:r>
        <w:rPr>
          <w:rFonts w:ascii="Courier New" w:cs="Courier New" w:eastAsia="Courier New" w:hAnsi="Courier New"/>
          <w:sz w:val="20"/>
          <w:szCs w:val="20"/>
        </w:rPr>
        <w:t xml:space="preserve">M044_ETE_analysis.sql</w:t>
      </w:r>
      <w:r>
        <w:t xml:space="preserve"> and shifts ≤2 patients per group with no impact on conclusions.</w:t>
      </w:r>
    </w:p>
    <w:p>
      <w:pPr>
        <w:pStyle w:val="Heading2"/>
        <w:spacing w:after="120" w:before="300"/>
      </w:pPr>
      <w:r>
        <w:rPr>
          <w:b/>
          <w:bCs/>
          <w:sz w:val="24"/>
          <w:szCs w:val="24"/>
        </w:rPr>
        <w:t xml:space="preserve">S1.2 Recurrence schema rationale</w:t>
      </w:r>
    </w:p>
    <w:p>
      <w:pPr>
        <w:spacing w:after="120" w:before="0" w:line="360"/>
      </w:pPr>
      <w:r>
        <w:t xml:space="preserve">The canonical recurrence column-of-record is </w:t>
      </w:r>
      <w:r>
        <w:rPr>
          <w:rFonts w:ascii="Courier New" w:cs="Courier New" w:eastAsia="Courier New" w:hAnsi="Courier New"/>
          <w:sz w:val="20"/>
          <w:szCs w:val="20"/>
        </w:rPr>
        <w:t xml:space="preserve">main.canonical_recurrence_resolved_v1</w:t>
      </w:r>
      <w:r>
        <w:t xml:space="preserve">, built by </w:t>
      </w:r>
      <w:r>
        <w:rPr>
          <w:rFonts w:ascii="Courier New" w:cs="Courier New" w:eastAsia="Courier New" w:hAnsi="Courier New"/>
          <w:sz w:val="20"/>
          <w:szCs w:val="20"/>
        </w:rPr>
        <w:t xml:space="preserve">mig_62_canonical_recurrence_resolved_v1_20260427</w:t>
      </w:r>
      <w:r>
        <w:t xml:space="preserve">. The table convention specifies a strict dual-track: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Path-proven recurrence</w:t>
      </w:r>
      <w:r>
        <w:t xml:space="preserve"> sources include multi-malignant-surgery (≥2 malignant surgery dates), structural confirmation in </w:t>
      </w:r>
      <w:r>
        <w:rPr>
          <w:rFonts w:ascii="Courier New" w:cs="Courier New" w:eastAsia="Courier New" w:hAnsi="Courier New"/>
          <w:sz w:val="20"/>
          <w:szCs w:val="20"/>
        </w:rPr>
        <w:t xml:space="preserve">recurrence_event_clean_v1</w:t>
      </w:r>
      <w:r>
        <w:t xml:space="preserve">, post-op FNA Bethesda 5/6 &gt;30 days from index surgery, and LLM-extracted entities with explicit pathology-keyword evidence.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Imaging-suspicious-only</w:t>
      </w:r>
      <w:r>
        <w:t xml:space="preserve"> sources include CT lymph-node suspicious flags, MRI pathologic-LN findings, nuclear-medicine impression keywords, and LLM-extracted imaging keywords without subsequent path confirmation.</w:t>
      </w:r>
    </w:p>
    <w:p>
      <w:pPr>
        <w:pStyle w:val="ListParagraph"/>
        <w:numPr>
          <w:ilvl w:val="0"/>
          <w:numId w:val="2"/>
        </w:numPr>
      </w:pPr>
      <w:r>
        <w:t xml:space="preserve">The </w:t>
      </w:r>
      <w:r>
        <w:rPr>
          <w:rFonts w:ascii="Courier New" w:cs="Courier New" w:eastAsia="Courier New" w:hAnsi="Courier New"/>
          <w:sz w:val="20"/>
          <w:szCs w:val="20"/>
        </w:rPr>
        <w:t xml:space="preserve">recurrence_imaging_then_path_confirmed</w:t>
      </w:r>
      <w:r>
        <w:t xml:space="preserve"> flag denotes imaging suspicion preceding path confirmation by ≥7 days; these patients are counted in path-proven by status_final assignment.</w:t>
      </w:r>
    </w:p>
    <w:p>
      <w:pPr>
        <w:spacing w:after="120" w:before="0" w:line="360"/>
      </w:pPr>
      <w:r>
        <w:t xml:space="preserve">For the M044 data-freeze pass, the primary endpoint is </w:t>
      </w:r>
      <w:r>
        <w:rPr>
          <w:rFonts w:ascii="Courier New" w:cs="Courier New" w:eastAsia="Courier New" w:hAnsi="Courier New"/>
          <w:sz w:val="20"/>
          <w:szCs w:val="20"/>
        </w:rPr>
        <w:t xml:space="preserve">recurrence_path_proven IS TRUE AND NOT COALESCE(is_implausible_date_quarantine, FALSE)</w:t>
      </w:r>
      <w:r>
        <w:t xml:space="preserve">. This excludes 24 raw path-proven rows whose recurrence date predates first surgery (14 </w:t>
      </w:r>
      <w:r>
        <w:rPr>
          <w:rFonts w:ascii="Courier New" w:cs="Courier New" w:eastAsia="Courier New" w:hAnsi="Courier New"/>
          <w:sz w:val="20"/>
          <w:szCs w:val="20"/>
        </w:rPr>
        <w:t xml:space="preserve">structural_confirmed</w:t>
      </w:r>
      <w:r>
        <w:t xml:space="preserve">, 10 </w:t>
      </w:r>
      <w:r>
        <w:rPr>
          <w:rFonts w:ascii="Courier New" w:cs="Courier New" w:eastAsia="Courier New" w:hAnsi="Courier New"/>
          <w:sz w:val="20"/>
          <w:szCs w:val="20"/>
        </w:rPr>
        <w:t xml:space="preserve">llm_path_keyword</w:t>
      </w:r>
      <w:r>
        <w:t xml:space="preserve">). The imaging-only endpoint is </w:t>
      </w:r>
      <w:r>
        <w:rPr>
          <w:rFonts w:ascii="Courier New" w:cs="Courier New" w:eastAsia="Courier New" w:hAnsi="Courier New"/>
          <w:sz w:val="20"/>
          <w:szCs w:val="20"/>
        </w:rPr>
        <w:t xml:space="preserve">recurrence_status_final='imaging_only_unconfirmed'</w:t>
      </w:r>
      <w:r>
        <w:t xml:space="preserve">; the composite endpoint is primary path-proven OR imaging-only-unconfirmed. The legacy </w:t>
      </w:r>
      <w:r>
        <w:rPr>
          <w:rFonts w:ascii="Courier New" w:cs="Courier New" w:eastAsia="Courier New" w:hAnsi="Courier New"/>
          <w:sz w:val="20"/>
          <w:szCs w:val="20"/>
        </w:rPr>
        <w:t xml:space="preserve">any_recurrence_flag</w:t>
      </w:r>
      <w:r>
        <w:t xml:space="preserve"> (n=503) and </w:t>
      </w:r>
      <w:r>
        <w:rPr>
          <w:rFonts w:ascii="Courier New" w:cs="Courier New" w:eastAsia="Courier New" w:hAnsi="Courier New"/>
          <w:sz w:val="20"/>
          <w:szCs w:val="20"/>
        </w:rPr>
        <w:t xml:space="preserve">structural_recurrence_flag</w:t>
      </w:r>
      <w:r>
        <w:t xml:space="preserve"> (n=1,817) in the cohort view do not match the canonical resolution. Of the 503 legacy any-recurrence cases, 316 have </w:t>
      </w:r>
      <w:r>
        <w:rPr>
          <w:rFonts w:ascii="Courier New" w:cs="Courier New" w:eastAsia="Courier New" w:hAnsi="Courier New"/>
          <w:sz w:val="20"/>
          <w:szCs w:val="20"/>
        </w:rPr>
        <w:t xml:space="preserve">recurrence_status_final='none'</w:t>
      </w:r>
      <w:r>
        <w:t xml:space="preserve"> and no canonical evidence; of the 1,817 structural-flag cases, 1,659 have </w:t>
      </w:r>
      <w:r>
        <w:rPr>
          <w:rFonts w:ascii="Courier New" w:cs="Courier New" w:eastAsia="Courier New" w:hAnsi="Courier New"/>
          <w:sz w:val="20"/>
          <w:szCs w:val="20"/>
        </w:rPr>
        <w:t xml:space="preserve">recurrence_status_final='none'</w:t>
      </w:r>
      <w:r>
        <w:t xml:space="preserve"> and no canonical evidence. The legacy flags are reported in S2 sensitivity only.</w:t>
      </w:r>
    </w:p>
    <w:p>
      <w:pPr>
        <w:pStyle w:val="Heading2"/>
        <w:spacing w:after="120" w:before="300"/>
      </w:pPr>
      <w:r>
        <w:rPr>
          <w:b/>
          <w:bCs/>
          <w:sz w:val="24"/>
          <w:szCs w:val="24"/>
        </w:rPr>
        <w:t xml:space="preserve">S1.3 LN rollup pre-aggregation</w:t>
      </w:r>
    </w:p>
    <w:p>
      <w:pPr>
        <w:spacing w:after="120" w:before="0" w:line="360"/>
      </w:pPr>
      <w:r>
        <w:t xml:space="preserve">The lymph-node rollup table </w:t>
      </w:r>
      <w:r>
        <w:rPr>
          <w:rFonts w:ascii="Courier New" w:cs="Courier New" w:eastAsia="Courier New" w:hAnsi="Courier New"/>
          <w:sz w:val="20"/>
          <w:szCs w:val="20"/>
        </w:rPr>
        <w:t xml:space="preserve">manuscript_workspace.ln_master_rollup_v1</w:t>
      </w:r>
      <w:r>
        <w:t xml:space="preserve"> has 4,273 rows across 3,986 distinct patients (some patients have multiple rollup records). To get one row per </w:t>
      </w:r>
      <w:r>
        <w:rPr>
          <w:rFonts w:ascii="Courier New" w:cs="Courier New" w:eastAsia="Courier New" w:hAnsi="Courier New"/>
          <w:sz w:val="20"/>
          <w:szCs w:val="20"/>
        </w:rPr>
        <w:t xml:space="preserve">research_id</w:t>
      </w:r>
      <w:r>
        <w:t xml:space="preserve">, each metric was aggregated using </w:t>
      </w:r>
      <w:r>
        <w:rPr>
          <w:rFonts w:ascii="Courier New" w:cs="Courier New" w:eastAsia="Courier New" w:hAnsi="Courier New"/>
          <w:sz w:val="20"/>
          <w:szCs w:val="20"/>
        </w:rPr>
        <w:t xml:space="preserve">MAX(...)</w:t>
      </w:r>
      <w:r>
        <w:t xml:space="preserve"> per patient:</w:t>
      </w:r>
    </w:p>
    <w:p>
      <w:pPr>
        <w:spacing w:after="120" w:before="0" w:line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  <w:r>
        <w:t xml:space="preserve">`sql</w:t>
      </w:r>
    </w:p>
    <w:p>
      <w:pPr>
        <w:spacing w:after="120" w:before="0" w:line="360"/>
      </w:pPr>
      <w:r>
        <w:t xml:space="preserve">SELECT research_id,</w:t>
      </w:r>
    </w:p>
    <w:p>
      <w:pPr>
        <w:spacing w:after="120" w:before="0" w:line="360"/>
      </w:pPr>
      <w:r>
        <w:t xml:space="preserve">  MAX(ln_total_examined) AS ln_examined,</w:t>
      </w:r>
    </w:p>
    <w:p>
      <w:pPr>
        <w:spacing w:after="120" w:before="0" w:line="360"/>
      </w:pPr>
      <w:r>
        <w:t xml:space="preserve">  MAX(ln_total_positive) AS ln_positive,</w:t>
      </w:r>
    </w:p>
    <w:p>
      <w:pPr>
        <w:spacing w:after="120" w:before="0" w:line="360"/>
      </w:pPr>
      <w:r>
        <w:t xml:space="preserve">  MAX(ln_central_positive) AS ln_central_positive,</w:t>
      </w:r>
    </w:p>
    <w:p>
      <w:pPr>
        <w:spacing w:after="120" w:before="0" w:line="360"/>
      </w:pPr>
      <w:r>
        <w:t xml:space="preserve">  MAX(ln_lateral_left_positive) AS lateral_left,</w:t>
      </w:r>
    </w:p>
    <w:p>
      <w:pPr>
        <w:spacing w:after="120" w:before="0" w:line="360"/>
      </w:pPr>
      <w:r>
        <w:t xml:space="preserve">  MAX(ln_lateral_right_positive) AS lateral_right,</w:t>
      </w:r>
    </w:p>
    <w:p>
      <w:pPr>
        <w:spacing w:after="120" w:before="0" w:line="360"/>
      </w:pPr>
      <w:r>
        <w:t xml:space="preserve">  MAX(ln_bilateral_lateral_positive) AS lateral_bil</w:t>
      </w:r>
    </w:p>
    <w:p>
      <w:pPr>
        <w:spacing w:after="120" w:before="0" w:line="360"/>
      </w:pPr>
      <w:r>
        <w:t xml:space="preserve">FROM manuscript_workspace.ln_master_rollup_v1</w:t>
      </w:r>
    </w:p>
    <w:p>
      <w:pPr>
        <w:spacing w:after="120" w:before="0" w:line="360"/>
      </w:pPr>
      <w:r>
        <w:t xml:space="preserve">GROUP BY research_id;</w:t>
      </w:r>
    </w:p>
    <w:p>
      <w:pPr>
        <w:spacing w:after="120" w:before="0" w:line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  <w:r>
        <w:t xml:space="preserve">`</w:t>
      </w:r>
    </w:p>
    <w:p>
      <w:pPr>
        <w:spacing w:after="120" w:before="0" w:line="360"/>
      </w:pPr>
      <w:r>
        <w:t xml:space="preserve">Lateral-positive flag is </w:t>
      </w:r>
      <w:r>
        <w:rPr>
          <w:rFonts w:ascii="Courier New" w:cs="Courier New" w:eastAsia="Courier New" w:hAnsi="Courier New"/>
          <w:sz w:val="20"/>
          <w:szCs w:val="20"/>
        </w:rPr>
        <w:t xml:space="preserve">lateral_left&gt;0 OR lateral_right&gt;0 OR lateral_bil&gt;0</w:t>
      </w:r>
      <w:r>
        <w:t xml:space="preserve">. Central-positive flag is </w:t>
      </w:r>
      <w:r>
        <w:rPr>
          <w:rFonts w:ascii="Courier New" w:cs="Courier New" w:eastAsia="Courier New" w:hAnsi="Courier New"/>
          <w:sz w:val="20"/>
          <w:szCs w:val="20"/>
        </w:rPr>
        <w:t xml:space="preserve">ln_central_positive&gt;0</w:t>
      </w:r>
      <w:r>
        <w:t xml:space="preserve">. The MAX aggregation is conservative (any record with positivity counts) and is the convention used in the THYROID_2026 manuscript-feasibility table.</w:t>
      </w:r>
    </w:p>
    <w:p>
      <w:pPr>
        <w:pStyle w:val="Heading2"/>
        <w:spacing w:after="120" w:before="300"/>
      </w:pPr>
      <w:r>
        <w:rPr>
          <w:b/>
          <w:bCs/>
          <w:sz w:val="24"/>
          <w:szCs w:val="24"/>
        </w:rPr>
        <w:t xml:space="preserve">S1.4 Reoperative pre-aggregation</w:t>
      </w:r>
    </w:p>
    <w:p>
      <w:pPr>
        <w:spacing w:after="120" w:before="0" w:line="360"/>
      </w:pPr>
      <w:r>
        <w:t xml:space="preserve">Reoperative context is sourced from </w:t>
      </w:r>
      <w:r>
        <w:rPr>
          <w:rFonts w:ascii="Courier New" w:cs="Courier New" w:eastAsia="Courier New" w:hAnsi="Courier New"/>
          <w:sz w:val="20"/>
          <w:szCs w:val="20"/>
        </w:rPr>
        <w:t xml:space="preserve">manuscript_workspace.cohort_m040_reoperative_v1</w:t>
      </w:r>
      <w:r>
        <w:t xml:space="preserve">, also pre-aggregated to one row per patient with </w:t>
      </w:r>
      <w:r>
        <w:rPr>
          <w:rFonts w:ascii="Courier New" w:cs="Courier New" w:eastAsia="Courier New" w:hAnsi="Courier New"/>
          <w:sz w:val="20"/>
          <w:szCs w:val="20"/>
        </w:rPr>
        <w:t xml:space="preserve">MAX(...)</w:t>
      </w:r>
      <w:r>
        <w:t xml:space="preserve"> over each field. The </w:t>
      </w:r>
      <w:r>
        <w:rPr>
          <w:rFonts w:ascii="Courier New" w:cs="Courier New" w:eastAsia="Courier New" w:hAnsi="Courier New"/>
          <w:sz w:val="20"/>
          <w:szCs w:val="20"/>
        </w:rPr>
        <w:t xml:space="preserve">n_surgeries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days_between_first_second_surgery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completion_reason</w:t>
      </w:r>
      <w:r>
        <w:t xml:space="preserve">, and </w:t>
      </w:r>
      <w:r>
        <w:rPr>
          <w:rFonts w:ascii="Courier New" w:cs="Courier New" w:eastAsia="Courier New" w:hAnsi="Courier New"/>
          <w:sz w:val="20"/>
          <w:szCs w:val="20"/>
        </w:rPr>
        <w:t xml:space="preserve">completion_histology_type</w:t>
      </w:r>
      <w:r>
        <w:t xml:space="preserve"> are preserved as the maximum/most-recent value per patient. This is appropriate for descriptive use but is a coarse simplification; multi-surgery analytic detail beyond the second surgery requires patient-level linkage to the operative-events canonical table.</w:t>
      </w:r>
    </w:p>
    <w:p>
      <w:pPr>
        <w:pStyle w:val="Heading1"/>
        <w:spacing w:after="180" w:before="360"/>
      </w:pPr>
      <w:r>
        <w:rPr>
          <w:b/>
          <w:bCs/>
          <w:sz w:val="28"/>
          <w:szCs w:val="28"/>
        </w:rPr>
        <w:t xml:space="preserve">S2. Supplementary tables</w:t>
      </w:r>
    </w:p>
    <w:p>
      <w:pPr>
        <w:pStyle w:val="Heading2"/>
        <w:spacing w:after="120" w:before="300"/>
      </w:pPr>
      <w:r>
        <w:rPr>
          <w:b/>
          <w:bCs/>
          <w:sz w:val="24"/>
          <w:szCs w:val="24"/>
        </w:rPr>
        <w:t xml:space="preserve">Supplement Table S1 — Path-proven recurrence by ETE group and tumor size</w:t>
      </w:r>
    </w:p>
    <w:p>
      <w:pPr>
        <w:spacing w:after="120" w:before="120"/>
      </w:pPr>
      <w:r>
        <w:rPr>
          <w:i/>
          <w:iCs/>
          <w:color w:val="777777"/>
        </w:rPr>
        <w:t xml:space="preserve">[Table — see M044_ETE_tables.xlsx]</w:t>
      </w:r>
    </w:p>
    <w:p>
      <w:pPr>
        <w:spacing w:after="120" w:before="0" w:line="360"/>
      </w:pPr>
      <w:r>
        <w:t xml:space="preserve">Notes. Six microscopic-ETE rows have unknown size and are excluded. The microscopic ETE &gt;4 cm cell (6.7%) is the highest microscopic-ETE recurrence rate in any size stratum; this is consistent with prior literature reporting that mETE prognostic effect strengthens in larger tumors.</w:t>
      </w:r>
    </w:p>
    <w:p>
      <w:pPr>
        <w:pStyle w:val="Heading2"/>
        <w:spacing w:after="120" w:before="300"/>
      </w:pPr>
      <w:r>
        <w:rPr>
          <w:b/>
          <w:bCs/>
          <w:sz w:val="24"/>
          <w:szCs w:val="24"/>
        </w:rPr>
        <w:t xml:space="preserve">Supplement Table S2 — Recurrence endpoint comparison (sensitivity)</w:t>
      </w:r>
    </w:p>
    <w:p>
      <w:pPr>
        <w:spacing w:after="120" w:before="120"/>
      </w:pPr>
      <w:r>
        <w:rPr>
          <w:i/>
          <w:iCs/>
          <w:color w:val="777777"/>
        </w:rPr>
        <w:t xml:space="preserve">[Table — see M044_ETE_tables.xlsx]</w:t>
      </w:r>
    </w:p>
    <w:p>
      <w:pPr>
        <w:pStyle w:val="Heading2"/>
        <w:spacing w:after="120" w:before="300"/>
      </w:pPr>
      <w:r>
        <w:rPr>
          <w:b/>
          <w:bCs/>
          <w:sz w:val="24"/>
          <w:szCs w:val="24"/>
        </w:rPr>
        <w:t xml:space="preserve">Supplement Table S3 — Positive-follow-up sensitivity</w:t>
      </w:r>
    </w:p>
    <w:p>
      <w:pPr>
        <w:spacing w:after="120" w:before="120"/>
      </w:pPr>
      <w:r>
        <w:rPr>
          <w:i/>
          <w:iCs/>
          <w:color w:val="777777"/>
        </w:rPr>
        <w:t xml:space="preserve">[Table — see M044_ETE_tables.xlsx]</w:t>
      </w:r>
    </w:p>
    <w:p>
      <w:pPr>
        <w:pStyle w:val="Heading2"/>
        <w:spacing w:after="120" w:before="300"/>
      </w:pPr>
      <w:r>
        <w:rPr>
          <w:b/>
          <w:bCs/>
          <w:sz w:val="24"/>
          <w:szCs w:val="24"/>
        </w:rPr>
        <w:t xml:space="preserve">Supplement Table S4 — Surgery-date-restricted (1999–2024) sensitivity</w:t>
      </w:r>
    </w:p>
    <w:p>
      <w:pPr>
        <w:spacing w:after="120" w:before="0" w:line="360"/>
      </w:pPr>
      <w:r>
        <w:t xml:space="preserve">Within the 4,090 cohort rows with first surgery date in 1999–2024, and the 3,717 strict-DTC three-level model-complete rows in that window, the gross-vs-microscopic ETE contrast on primary path-proven recurrence is preserved. Detailed counts are available in </w:t>
      </w:r>
      <w:r>
        <w:rPr>
          <w:rFonts w:ascii="Courier New" w:cs="Courier New" w:eastAsia="Courier New" w:hAnsi="Courier New"/>
          <w:sz w:val="20"/>
          <w:szCs w:val="20"/>
        </w:rPr>
        <w:t xml:space="preserve">M044_ETE_analysis.sql</w:t>
      </w:r>
      <w:r>
        <w:t xml:space="preserve"> query 8 and </w:t>
      </w:r>
      <w:r>
        <w:rPr>
          <w:rFonts w:ascii="Courier New" w:cs="Courier New" w:eastAsia="Courier New" w:hAnsi="Courier New"/>
          <w:sz w:val="20"/>
          <w:szCs w:val="20"/>
        </w:rPr>
        <w:t xml:space="preserve">M044_DATA_FREEZE_2026-05-01_motherduck_sync.md</w:t>
      </w:r>
      <w:r>
        <w:t xml:space="preserve">.</w:t>
      </w:r>
    </w:p>
    <w:p>
      <w:pPr>
        <w:pStyle w:val="Heading2"/>
        <w:spacing w:after="120" w:before="300"/>
      </w:pPr>
      <w:r>
        <w:rPr>
          <w:b/>
          <w:bCs/>
          <w:sz w:val="24"/>
          <w:szCs w:val="24"/>
        </w:rPr>
        <w:t xml:space="preserve">Supplement Table S5 — Lymphatic and vascular invasion separated</w:t>
      </w:r>
    </w:p>
    <w:p>
      <w:pPr>
        <w:spacing w:after="120" w:before="0" w:line="360"/>
      </w:pPr>
      <w:r>
        <w:t xml:space="preserve">Path-proven and composite recurrence rates by joint cell of cleaned lymphatic and vascular categories (top cells by n):</w:t>
      </w:r>
    </w:p>
    <w:p>
      <w:pPr>
        <w:spacing w:after="120" w:before="120"/>
      </w:pPr>
      <w:r>
        <w:rPr>
          <w:i/>
          <w:iCs/>
          <w:color w:val="777777"/>
        </w:rPr>
        <w:t xml:space="preserve">[Table — see M044_ETE_tables.xlsx]</w:t>
      </w:r>
    </w:p>
    <w:p>
      <w:pPr>
        <w:spacing w:after="120" w:before="0" w:line="360"/>
      </w:pPr>
      <w:r>
        <w:t xml:space="preserve">The missing/missing reference cell has the lowest path-proven rate. Cells with extensive vascular or extensive lymphatic invasion have the highest rates. There is no protective signal under any combination.</w:t>
      </w:r>
    </w:p>
    <w:p>
      <w:pPr>
        <w:pStyle w:val="Heading2"/>
        <w:spacing w:after="120" w:before="300"/>
      </w:pPr>
      <w:r>
        <w:rPr>
          <w:b/>
          <w:bCs/>
          <w:sz w:val="24"/>
          <w:szCs w:val="24"/>
        </w:rPr>
        <w:t xml:space="preserve">Supplement Table S6 — Reoperative interaction by ETE group</w:t>
      </w:r>
    </w:p>
    <w:p>
      <w:pPr>
        <w:spacing w:after="120" w:before="120"/>
      </w:pPr>
      <w:r>
        <w:rPr>
          <w:i/>
          <w:iCs/>
          <w:color w:val="777777"/>
        </w:rPr>
        <w:t xml:space="preserve">[Table — see M044_ETE_tables.xlsx]</w:t>
      </w:r>
    </w:p>
    <w:p>
      <w:pPr>
        <w:spacing w:after="120" w:before="0" w:line="360"/>
      </w:pPr>
      <w:r>
        <w:t xml:space="preserve">Reoperation rates are similar in microscopic, gross, and no/negative ETE groups (15–18%), but the no/negative ETE recurred subgroup specifically has 10/29 = 34.5% ≥2-surgery rate, much higher than the ETE-group baseline.</w:t>
      </w:r>
    </w:p>
    <w:p>
      <w:pPr>
        <w:pStyle w:val="Heading2"/>
        <w:spacing w:after="120" w:before="300"/>
      </w:pPr>
      <w:r>
        <w:rPr>
          <w:b/>
          <w:bCs/>
          <w:sz w:val="24"/>
          <w:szCs w:val="24"/>
        </w:rPr>
        <w:t xml:space="preserve">Supplement Table S7 — AJCC stage group cross-tab by ETE</w:t>
      </w:r>
    </w:p>
    <w:p>
      <w:pPr>
        <w:spacing w:after="120" w:before="120"/>
      </w:pPr>
      <w:r>
        <w:rPr>
          <w:i/>
          <w:iCs/>
          <w:color w:val="777777"/>
        </w:rPr>
        <w:t xml:space="preserve">[Table — see M044_ETE_tables.xlsx]</w:t>
      </w:r>
    </w:p>
    <w:p>
      <w:pPr>
        <w:spacing w:after="120" w:before="0" w:line="360"/>
      </w:pPr>
      <w:r>
        <w:t xml:space="preserve">(IVA absent in this cohort by stage-group definition. Stage III rare for any group, consistent with the AJCC 8 reclassification effect on the historical T3 disease.)</w:t>
      </w:r>
    </w:p>
    <w:p>
      <w:pPr>
        <w:pStyle w:val="Heading1"/>
        <w:spacing w:after="180" w:before="360"/>
      </w:pPr>
      <w:r>
        <w:rPr>
          <w:b/>
          <w:bCs/>
          <w:sz w:val="28"/>
          <w:szCs w:val="28"/>
        </w:rPr>
        <w:t xml:space="preserve">S3. Sensitivity analysis narrative</w:t>
      </w:r>
    </w:p>
    <w:p>
      <w:pPr>
        <w:spacing w:after="120" w:before="0" w:line="360"/>
      </w:pPr>
      <w:r>
        <w:rPr>
          <w:b/>
          <w:bCs/>
        </w:rPr>
        <w:t xml:space="preserve">S3.1 Zero-follow-up exclusion.</w:t>
      </w:r>
      <w:r>
        <w:t xml:space="preserve"> Excluding the 1,400 patients with </w:t>
      </w:r>
      <w:r>
        <w:rPr>
          <w:rFonts w:ascii="Courier New" w:cs="Courier New" w:eastAsia="Courier New" w:hAnsi="Courier New"/>
          <w:sz w:val="20"/>
          <w:szCs w:val="20"/>
        </w:rPr>
        <w:t xml:space="preserve">followup_years = 0</w:t>
      </w:r>
      <w:r>
        <w:t xml:space="preserve"> reduces the cohort to 2,728 patients. The primary path-proven recurrence rates remain qualitatively unchanged: microscopic 0.96/100PY, gross 2.49/100PY, no/negative 2.43/100PY (Supplement Table S3).</w:t>
      </w:r>
    </w:p>
    <w:p>
      <w:pPr>
        <w:spacing w:after="120" w:before="0" w:line="360"/>
      </w:pPr>
      <w:r>
        <w:rPr>
          <w:b/>
          <w:bCs/>
        </w:rPr>
        <w:t xml:space="preserve">S3.2 Surgery-date restriction.</w:t>
      </w:r>
      <w:r>
        <w:t xml:space="preserve"> Restricting to the </w:t>
      </w:r>
      <w:r>
        <w:rPr>
          <w:b/>
          <w:bCs/>
        </w:rPr>
        <w:t xml:space="preserve">`surg_date_1999_2024`</w:t>
      </w:r>
      <w:r>
        <w:t xml:space="preserve"> calendar-flag subset on </w:t>
      </w:r>
      <w:r>
        <w:rPr>
          <w:b/>
          <w:bCs/>
        </w:rPr>
        <w:t xml:space="preserve">`canonical_patient_master.surg_first_date`</w:t>
      </w:r>
      <w:r>
        <w:t xml:space="preserve"> (mig_258; post–mig_254 lineage — see </w:t>
      </w:r>
      <w:r>
        <w:rPr>
          <w:b/>
          <w:bCs/>
        </w:rPr>
        <w:t xml:space="preserve">`scripts/m044_validate_canonical_v1_runner.py`</w:t>
      </w:r>
      <w:r>
        <w:t xml:space="preserve"> QUERY </w:t>
      </w:r>
      <w:r>
        <w:rPr>
          <w:rFonts w:ascii="Courier New" w:cs="Courier New" w:eastAsia="Courier New" w:hAnsi="Courier New"/>
          <w:sz w:val="20"/>
          <w:szCs w:val="20"/>
        </w:rPr>
        <w:t xml:space="preserve">surgery_date_lineage</w:t>
      </w:r>
      <w:r>
        <w:t xml:space="preserve"> and workbook Supplement </w:t>
      </w:r>
      <w:r>
        <w:rPr>
          <w:b/>
          <w:bCs/>
        </w:rPr>
        <w:t xml:space="preserve">S2_surgery_date_1999_2024</w:t>
      </w:r>
      <w:r>
        <w:t xml:space="preserve">) preserves the gross-vs-microscopic contrast. The live extract has 4,128/4,128 non-missing surgery dates, 4,090 rows in the 1999–2024 window, and 3,717 strict-DTC three-level model-complete rows in that window.</w:t>
      </w:r>
    </w:p>
    <w:p>
      <w:pPr>
        <w:spacing w:after="120" w:before="0" w:line="360"/>
      </w:pPr>
      <w:r>
        <w:rPr>
          <w:b/>
          <w:bCs/>
        </w:rPr>
        <w:t xml:space="preserve">S3.3 LN compartment substitution.</w:t>
      </w:r>
      <w:r>
        <w:t xml:space="preserve"> Replacing AJCC 8 N stage with explicit central- and lateral-LN-positive flags does not change the qualitative direction of the gross-ETE coefficient. The flag substitution does, however, weaken the no/negative ETE coefficient further, suggesting that a portion of the no/negative ETE recurrence signal that AJCC 8 N stage does not fully capture is absorbed by the lateral-compartment flag.</w:t>
      </w:r>
    </w:p>
    <w:p>
      <w:pPr>
        <w:spacing w:after="120" w:before="0" w:line="360"/>
      </w:pPr>
      <w:r>
        <w:rPr>
          <w:b/>
          <w:bCs/>
        </w:rPr>
        <w:t xml:space="preserve">S3.4 Endpoint sensitivity.</w:t>
      </w:r>
      <w:r>
        <w:t xml:space="preserve"> The legacy </w:t>
      </w:r>
      <w:r>
        <w:rPr>
          <w:rFonts w:ascii="Courier New" w:cs="Courier New" w:eastAsia="Courier New" w:hAnsi="Courier New"/>
          <w:sz w:val="20"/>
          <w:szCs w:val="20"/>
        </w:rPr>
        <w:t xml:space="preserve">any_recurrence_flag</w:t>
      </w:r>
      <w:r>
        <w:t xml:space="preserve"> model produces inflated event counts (n=503 vs primary path-proven n=204). Raw path-proven recurrence has 228 events before quarantine exclusion; 24 implausible-date rows are excluded from the primary endpoint. The gross-vs-microscopic OR is smaller under the legacy flag (consistent with legacy-flag noise diluting the contrast). The structural-recurrence-flag is not used in any analysis.</w:t>
      </w:r>
    </w:p>
    <w:p>
      <w:pPr>
        <w:spacing w:after="120" w:before="0" w:line="360"/>
      </w:pPr>
      <w:r>
        <w:rPr>
          <w:b/>
          <w:bCs/>
        </w:rPr>
        <w:t xml:space="preserve">S3.5 LVI-vascular separation.</w:t>
      </w:r>
      <w:r>
        <w:t xml:space="preserve"> The primary model already keeps these separate. A pooled-LVI sensitivity (combining lymphatic and vascular into one binary present/absent variable with missing-as-absent) is shown to be the configuration that produces the spurious "protective LVI" association reported in earlier modeling.</w:t>
      </w:r>
    </w:p>
    <w:p>
      <w:pPr>
        <w:pStyle w:val="Heading1"/>
        <w:spacing w:after="180" w:before="360"/>
      </w:pPr>
      <w:r>
        <w:rPr>
          <w:b/>
          <w:bCs/>
          <w:sz w:val="28"/>
          <w:szCs w:val="28"/>
        </w:rPr>
        <w:t xml:space="preserve">S4. Data dictionary (key analytic variables)</w:t>
      </w:r>
    </w:p>
    <w:p>
      <w:pPr>
        <w:spacing w:after="120" w:before="120"/>
      </w:pPr>
      <w:r>
        <w:rPr>
          <w:i/>
          <w:iCs/>
          <w:color w:val="777777"/>
        </w:rPr>
        <w:t xml:space="preserve">[Table — see M044_ETE_tables.xlsx]</w:t>
      </w:r>
    </w:p>
    <w:p>
      <w:pPr>
        <w:pStyle w:val="Heading1"/>
        <w:spacing w:after="180" w:before="360"/>
      </w:pPr>
      <w:r>
        <w:rPr>
          <w:b/>
          <w:bCs/>
          <w:sz w:val="28"/>
          <w:szCs w:val="28"/>
        </w:rPr>
        <w:t xml:space="preserve">S5. PRISMA-style systematic-review summary (literature context)</w:t>
      </w:r>
    </w:p>
    <w:p>
      <w:pPr>
        <w:spacing w:after="120" w:before="0" w:line="360"/>
      </w:pPr>
      <w:r>
        <w:t xml:space="preserve">The Elicit literature report (</w:t>
      </w:r>
      <w:r>
        <w:rPr>
          <w:rFonts w:ascii="Courier New" w:cs="Courier New" w:eastAsia="Courier New" w:hAnsi="Courier New"/>
          <w:sz w:val="20"/>
          <w:szCs w:val="20"/>
        </w:rPr>
        <w:t xml:space="preserve">Elicit - Microscopic vs Gross ETE in Thyroid Cancer Outcome - Report.pdf</w:t>
      </w:r>
      <w:r>
        <w:t xml:space="preserve">) screened 1,000 candidate papers and extracted from 80 sources spanning 2014–2026, with sample sizes from 100 to 177,497 patients. Of the synthesized findings:</w:t>
      </w:r>
    </w:p>
    <w:p>
      <w:pPr>
        <w:pStyle w:val="ListParagraph"/>
        <w:numPr>
          <w:ilvl w:val="0"/>
          <w:numId w:val="2"/>
        </w:numPr>
      </w:pPr>
      <w:r>
        <w:t xml:space="preserve">17 of 80 studies reported mETE as an independent predictor of recurrence; 11 reported no independent prognostic value; the remainder reported mixed or context-dependent findings.</w:t>
      </w:r>
    </w:p>
    <w:p>
      <w:pPr>
        <w:pStyle w:val="ListParagraph"/>
        <w:numPr>
          <w:ilvl w:val="0"/>
          <w:numId w:val="2"/>
        </w:numPr>
      </w:pPr>
      <w:r>
        <w:t xml:space="preserve">Multiple studies reported size-dependent mETE prognostic effect, with stronger associations in tumors &gt;2 cm and in patients ≥55 years.</w:t>
      </w:r>
    </w:p>
    <w:p>
      <w:pPr>
        <w:pStyle w:val="ListParagraph"/>
        <w:numPr>
          <w:ilvl w:val="0"/>
          <w:numId w:val="2"/>
        </w:numPr>
      </w:pPr>
      <w:r>
        <w:t xml:space="preserve">Stage migration with AJCC 8 ranged from 9% to 70%, depending on cohort.</w:t>
      </w:r>
    </w:p>
    <w:p>
      <w:pPr>
        <w:pStyle w:val="ListParagraph"/>
        <w:numPr>
          <w:ilvl w:val="0"/>
          <w:numId w:val="2"/>
        </w:numPr>
      </w:pPr>
      <w:r>
        <w:t xml:space="preserve">A handful of studies reported direct mETE-vs-gETE comparisons; results were mixed but generally supported gETE as a higher-risk feature.</w:t>
      </w:r>
    </w:p>
    <w:p>
      <w:pPr>
        <w:spacing w:after="120" w:before="0" w:line="360"/>
      </w:pPr>
      <w:r>
        <w:t xml:space="preserve">Our cohort contributes to this evidence base by (1) using a strict dual-track recurrence ascertainment, (2) using cleaned source-tracked ETE labeling with explicit handling of present-ungraded and missing categories, and (3) modeling lymphatic and vascular invasion separately with retained missing categories. The primary path-proven recurrence rate gradient (microscopic 3.1% &lt;&lt; gross 8.3%) and the size-stratified microscopic-ETE recurrence pattern (1.7% at ≤1 cm rising to 6.7% at &gt;4 cm) are consistent with the systematic-review consensus.</w:t>
      </w:r>
    </w:p>
    <w:p>
      <w:pPr>
        <w:spacing w:after="120" w:before="0" w:line="360"/>
      </w:pPr>
      <w:r>
        <w:t xml:space="preserve">End of supplement.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8"/>
        <w:szCs w:val="18"/>
      </w:rPr>
      <w:t xml:space="preserve">M044 Supplement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M044 Supplement</dc:title>
  <dc:creator>Logan Glosser</dc:creator>
  <cp:lastModifiedBy>Un-named</cp:lastModifiedBy>
  <cp:revision>1</cp:revision>
  <dcterms:created xsi:type="dcterms:W3CDTF">2026-05-01T14:59:41.535Z</dcterms:created>
  <dcterms:modified xsi:type="dcterms:W3CDTF">2026-05-01T14:59:41.535Z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