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b/>
          <w:bCs/>
          <w:sz w:val="32"/>
          <w:szCs w:val="32"/>
        </w:rPr>
        <w:t xml:space="preserve">Supplement — M044 Microscopic vs Gross ETE Manuscript</w:t>
      </w:r>
    </w:p>
    <w:p>
      <w:pPr>
        <w:spacing w:after="120" w:before="0" w:line="360"/>
      </w:pPr>
      <w:r>
        <w:rPr>
          <w:b/>
          <w:bCs/>
        </w:rPr>
        <w:t xml:space="preserve">Companion to: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M044_ETE_manuscript_draft.md</w:t>
      </w:r>
    </w:p>
    <w:p>
      <w:pPr>
        <w:spacing w:after="120" w:before="0" w:line="360"/>
      </w:pPr>
      <w:r>
        <w:rPr>
          <w:b/>
          <w:bCs/>
        </w:rPr>
        <w:t xml:space="preserve">Date:</w:t>
      </w:r>
      <w:r>
        <w:t xml:space="preserve"> 2026-05-01</w:t>
      </w:r>
    </w:p>
    <w:p>
      <w:pPr>
        <w:spacing w:after="120" w:before="0" w:line="360"/>
      </w:pPr>
      <w:r>
        <w:rPr>
          <w:b/>
          <w:bCs/>
        </w:rPr>
        <w:t xml:space="preserve">Database: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thyroid_canonical_publication_v1_0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S1. Supplementary methods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S1.1 Cohort construction details</w:t>
      </w:r>
    </w:p>
    <w:p>
      <w:pPr>
        <w:spacing w:after="120" w:before="0" w:line="360"/>
      </w:pPr>
      <w:r>
        <w:t xml:space="preserve">The analytic cohort is the materialized one-row-per-patient view </w:t>
      </w:r>
      <w:r>
        <w:rPr>
          <w:rFonts w:ascii="Courier New" w:cs="Courier New" w:eastAsia="Courier New" w:hAnsi="Courier New"/>
          <w:sz w:val="20"/>
          <w:szCs w:val="20"/>
        </w:rPr>
        <w:t xml:space="preserve">manuscript_workspace.cohort_m044_ajcc_ete_v1</w:t>
      </w:r>
      <w:r>
        <w:t xml:space="preserve"> (n=4,128). The cohort view is built upstream by the THYROID_2026 ETE-resolution pipeline that combines three source streams: (1) extraction-audit-engine v7 outputs, (2) script_390 rule-A consolidation (2026-04-22), and (3) tumor-episode master v2 reconciliation. Each row is uniquely keyed on </w:t>
      </w:r>
      <w:r>
        <w:rPr>
          <w:rFonts w:ascii="Courier New" w:cs="Courier New" w:eastAsia="Courier New" w:hAnsi="Courier New"/>
          <w:sz w:val="20"/>
          <w:szCs w:val="20"/>
        </w:rPr>
        <w:t xml:space="preserve">research_id</w:t>
      </w:r>
      <w:r>
        <w:t xml:space="preserve"> and the upstream pipeline guarantees no patient duplication.</w:t>
      </w:r>
    </w:p>
    <w:p>
      <w:pPr>
        <w:spacing w:after="120" w:before="0" w:line="360"/>
      </w:pPr>
      <w:r>
        <w:t xml:space="preserve">ETE source provenance was retained to trace source-by-grade interactions (reported in the validation report, §2.2). Dominant </w:t>
      </w:r>
      <w:r>
        <w:rPr>
          <w:rFonts w:ascii="Courier New" w:cs="Courier New" w:eastAsia="Courier New" w:hAnsi="Courier New"/>
          <w:sz w:val="20"/>
          <w:szCs w:val="20"/>
        </w:rPr>
        <w:t xml:space="preserve">ete_grade_source</w:t>
      </w:r>
      <w:r>
        <w:t xml:space="preserve"> distributions are: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extraction_audit_engine_v7</w:t>
      </w:r>
      <w:r>
        <w:t xml:space="preserve"> — primary path, used for the bulk of microscopic and gross ETE assignments.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script_390_rule_a_20260422</w:t>
      </w:r>
      <w:r>
        <w:t xml:space="preserve"> — consolidation rule applied to gross-ETE-flag-positive patients with absent or conflicting synoptic ETE labels.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tumor_episode_master_v2</w:t>
      </w:r>
      <w:r>
        <w:t xml:space="preserve"> — fallback for negative/no-ETE (</w:t>
      </w:r>
      <w:r>
        <w:rPr>
          <w:rFonts w:ascii="Courier New" w:cs="Courier New" w:eastAsia="Courier New" w:hAnsi="Courier New"/>
          <w:sz w:val="20"/>
          <w:szCs w:val="20"/>
        </w:rPr>
        <w:t xml:space="preserve">'false'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'absent'</w:t>
      </w:r>
      <w:r>
        <w:t xml:space="preserve">) and for the small </w:t>
      </w:r>
      <w:r>
        <w:rPr>
          <w:rFonts w:ascii="Courier New" w:cs="Courier New" w:eastAsia="Courier New" w:hAnsi="Courier New"/>
          <w:sz w:val="20"/>
          <w:szCs w:val="20"/>
        </w:rPr>
        <w:t xml:space="preserve">'true'</w:t>
      </w:r>
      <w:r>
        <w:t xml:space="preserve"> ambiguous bucket.</w:t>
      </w:r>
    </w:p>
    <w:p>
      <w:pPr>
        <w:spacing w:after="120" w:before="0" w:line="360"/>
      </w:pPr>
      <w:r>
        <w:t xml:space="preserve">The 4 </w:t>
      </w:r>
      <w:r>
        <w:rPr>
          <w:rFonts w:ascii="Courier New" w:cs="Courier New" w:eastAsia="Courier New" w:hAnsi="Courier New"/>
          <w:sz w:val="20"/>
          <w:szCs w:val="20"/>
        </w:rPr>
        <w:t xml:space="preserve">ete_grade_final='true'</w:t>
      </w:r>
      <w:r>
        <w:t xml:space="preserve"> rows from </w:t>
      </w:r>
      <w:r>
        <w:rPr>
          <w:rFonts w:ascii="Courier New" w:cs="Courier New" w:eastAsia="Courier New" w:hAnsi="Courier New"/>
          <w:sz w:val="20"/>
          <w:szCs w:val="20"/>
        </w:rPr>
        <w:t xml:space="preserve">tumor_episode_master_v2</w:t>
      </w:r>
      <w:r>
        <w:t xml:space="preserve"> were grouped into Missing/other in the primary classification (per ChatGPT’s handoff). A reclassification with these 4 rows split into Gross (n=2 with </w:t>
      </w:r>
      <w:r>
        <w:rPr>
          <w:rFonts w:ascii="Courier New" w:cs="Courier New" w:eastAsia="Courier New" w:hAnsi="Courier New"/>
          <w:sz w:val="20"/>
          <w:szCs w:val="20"/>
        </w:rPr>
        <w:t xml:space="preserve">ete_grade='gross'</w:t>
      </w:r>
      <w:r>
        <w:t xml:space="preserve">) and Present-ungraded (n=2) is provided in </w:t>
      </w:r>
      <w:r>
        <w:rPr>
          <w:rFonts w:ascii="Courier New" w:cs="Courier New" w:eastAsia="Courier New" w:hAnsi="Courier New"/>
          <w:sz w:val="20"/>
          <w:szCs w:val="20"/>
        </w:rPr>
        <w:t xml:space="preserve">M044_ETE_analysis.sql</w:t>
      </w:r>
      <w:r>
        <w:t xml:space="preserve"> and shifts ≤2 patients per group with no impact on conclusions.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S1.2 Recurrence schema rationale</w:t>
      </w:r>
    </w:p>
    <w:p>
      <w:pPr>
        <w:spacing w:after="120" w:before="0" w:line="360"/>
      </w:pPr>
      <w:r>
        <w:t xml:space="preserve">The canonical recurrence column-of-record is </w:t>
      </w:r>
      <w:r>
        <w:rPr>
          <w:rFonts w:ascii="Courier New" w:cs="Courier New" w:eastAsia="Courier New" w:hAnsi="Courier New"/>
          <w:sz w:val="20"/>
          <w:szCs w:val="20"/>
        </w:rPr>
        <w:t xml:space="preserve">main.canonical_recurrence_resolved_v1</w:t>
      </w:r>
      <w:r>
        <w:t xml:space="preserve">, built by </w:t>
      </w:r>
      <w:r>
        <w:rPr>
          <w:rFonts w:ascii="Courier New" w:cs="Courier New" w:eastAsia="Courier New" w:hAnsi="Courier New"/>
          <w:sz w:val="20"/>
          <w:szCs w:val="20"/>
        </w:rPr>
        <w:t xml:space="preserve">mig_62_canonical_recurrence_resolved_v1_20260427</w:t>
      </w:r>
      <w:r>
        <w:t xml:space="preserve">. The table convention specifies a strict dual-track: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Path-proven recurrence</w:t>
      </w:r>
      <w:r>
        <w:t xml:space="preserve"> sources include multi-malignant-surgery (≥2 malignant surgery dates), structural confirmation in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recurrence_event_clean_v1</w:t>
      </w:r>
      <w:r>
        <w:t xml:space="preserve">, post-op FNA Bethesda 5/6 &gt;30 days from index surgery, and LLM-extracted entities with explicit pathology-keyword evidence.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Imaging-suspicious-only</w:t>
      </w:r>
      <w:r>
        <w:t xml:space="preserve"> sources include CT lymph-node suspicious flags, MRI pathologic-LN findings, nuclear-medicine impression keywords, and LLM-extracted imaging keywords without subsequent path confirmation.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recurrence_imaging_then_path_confirmed</w:t>
      </w:r>
      <w:r>
        <w:t xml:space="preserve"> flag denotes imaging suspicion preceding path confirmation by ≥7 days; these patients are counted in path-proven by status_final assignment.</w:t>
      </w:r>
    </w:p>
    <w:p>
      <w:pPr>
        <w:spacing w:after="120" w:before="0" w:line="360"/>
      </w:pPr>
      <w:r>
        <w:t xml:space="preserve">The legacy </w:t>
      </w:r>
      <w:r>
        <w:rPr>
          <w:rFonts w:ascii="Courier New" w:cs="Courier New" w:eastAsia="Courier New" w:hAnsi="Courier New"/>
          <w:sz w:val="20"/>
          <w:szCs w:val="20"/>
        </w:rPr>
        <w:t xml:space="preserve">any_recurrence_flag</w:t>
      </w:r>
      <w:r>
        <w:t xml:space="preserve"> (n=503) and </w:t>
      </w:r>
      <w:r>
        <w:rPr>
          <w:rFonts w:ascii="Courier New" w:cs="Courier New" w:eastAsia="Courier New" w:hAnsi="Courier New"/>
          <w:sz w:val="20"/>
          <w:szCs w:val="20"/>
        </w:rPr>
        <w:t xml:space="preserve">structural_recurrence_flag</w:t>
      </w:r>
      <w:r>
        <w:t xml:space="preserve"> (n=1,819) in the cohort view do not match the canonical resolution. Of the 503 legacy any-recurrence cases, 318 have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recurrence_status_final='none'</w:t>
      </w:r>
      <w:r>
        <w:t xml:space="preserve"> and no canonical evidence; of the 1,819 structural-flag cases, 1,467 have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recurrence_status_final='none'</w:t>
      </w:r>
      <w:r>
        <w:t xml:space="preserve"> and no canonical evidence. The legacy flags are reported in S2 sensitivity only.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S1.3 LN rollup pre-aggregation</w:t>
      </w:r>
    </w:p>
    <w:p>
      <w:pPr>
        <w:spacing w:after="120" w:before="0" w:line="360"/>
      </w:pPr>
      <w:r>
        <w:t xml:space="preserve">The lymph-node rollup table </w:t>
      </w:r>
      <w:r>
        <w:rPr>
          <w:rFonts w:ascii="Courier New" w:cs="Courier New" w:eastAsia="Courier New" w:hAnsi="Courier New"/>
          <w:sz w:val="20"/>
          <w:szCs w:val="20"/>
        </w:rPr>
        <w:t xml:space="preserve">manuscript_workspace.ln_master_rollup_v1</w:t>
      </w:r>
      <w:r>
        <w:t xml:space="preserve"> has 4,273 rows across 3,986 distinct patients (some patients have multiple rollup records). To get one row per </w:t>
      </w:r>
      <w:r>
        <w:rPr>
          <w:rFonts w:ascii="Courier New" w:cs="Courier New" w:eastAsia="Courier New" w:hAnsi="Courier New"/>
          <w:sz w:val="20"/>
          <w:szCs w:val="20"/>
        </w:rPr>
        <w:t xml:space="preserve">research_id</w:t>
      </w:r>
      <w:r>
        <w:t xml:space="preserve">, each metric was aggregated using </w:t>
      </w:r>
      <w:r>
        <w:rPr>
          <w:rFonts w:ascii="Courier New" w:cs="Courier New" w:eastAsia="Courier New" w:hAnsi="Courier New"/>
          <w:sz w:val="20"/>
          <w:szCs w:val="20"/>
        </w:rPr>
        <w:t xml:space="preserve">MAX(...)</w:t>
      </w:r>
      <w:r>
        <w:t xml:space="preserve"> per patient:</w:t>
      </w:r>
    </w:p>
    <w:p>
      <w:pPr>
        <w:spacing w:after="120" w:before="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t xml:space="preserve">`sql</w:t>
      </w:r>
    </w:p>
    <w:p>
      <w:pPr>
        <w:spacing w:after="120" w:before="0" w:line="360"/>
      </w:pPr>
      <w:r>
        <w:t xml:space="preserve">SELECT research_id,</w:t>
      </w:r>
    </w:p>
    <w:p>
      <w:pPr>
        <w:spacing w:after="120" w:before="0" w:line="360"/>
      </w:pPr>
      <w:r>
        <w:t xml:space="preserve">  MAX(ln_total_examined) AS ln_examined,</w:t>
      </w:r>
    </w:p>
    <w:p>
      <w:pPr>
        <w:spacing w:after="120" w:before="0" w:line="360"/>
      </w:pPr>
      <w:r>
        <w:t xml:space="preserve">  MAX(ln_total_positive) AS ln_positive,</w:t>
      </w:r>
    </w:p>
    <w:p>
      <w:pPr>
        <w:spacing w:after="120" w:before="0" w:line="360"/>
      </w:pPr>
      <w:r>
        <w:t xml:space="preserve">  MAX(ln_central_positive) AS ln_central_positive,</w:t>
      </w:r>
    </w:p>
    <w:p>
      <w:pPr>
        <w:spacing w:after="120" w:before="0" w:line="360"/>
      </w:pPr>
      <w:r>
        <w:t xml:space="preserve">  MAX(ln_lateral_left_positive) AS lateral_left,</w:t>
      </w:r>
    </w:p>
    <w:p>
      <w:pPr>
        <w:spacing w:after="120" w:before="0" w:line="360"/>
      </w:pPr>
      <w:r>
        <w:t xml:space="preserve">  MAX(ln_lateral_right_positive) AS lateral_right,</w:t>
      </w:r>
    </w:p>
    <w:p>
      <w:pPr>
        <w:spacing w:after="120" w:before="0" w:line="360"/>
      </w:pPr>
      <w:r>
        <w:t xml:space="preserve">  MAX(ln_bilateral_lateral_positive) AS lateral_bil</w:t>
      </w:r>
    </w:p>
    <w:p>
      <w:pPr>
        <w:spacing w:after="120" w:before="0" w:line="360"/>
      </w:pPr>
      <w:r>
        <w:t xml:space="preserve">FROM manuscript_workspace.ln_master_rollup_v1</w:t>
      </w:r>
    </w:p>
    <w:p>
      <w:pPr>
        <w:spacing w:after="120" w:before="0" w:line="360"/>
      </w:pPr>
      <w:r>
        <w:t xml:space="preserve">GROUP BY research_id;</w:t>
      </w:r>
    </w:p>
    <w:p>
      <w:pPr>
        <w:spacing w:after="120" w:before="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t xml:space="preserve">`</w:t>
      </w:r>
    </w:p>
    <w:p>
      <w:pPr>
        <w:spacing w:after="120" w:before="0" w:line="360"/>
      </w:pPr>
      <w:r>
        <w:t xml:space="preserve">Lateral-positive flag is </w:t>
      </w:r>
      <w:r>
        <w:rPr>
          <w:rFonts w:ascii="Courier New" w:cs="Courier New" w:eastAsia="Courier New" w:hAnsi="Courier New"/>
          <w:sz w:val="20"/>
          <w:szCs w:val="20"/>
        </w:rPr>
        <w:t xml:space="preserve">lateral_left&gt;0 OR lateral_right&gt;0 OR lateral_bil&gt;0</w:t>
      </w:r>
      <w:r>
        <w:t xml:space="preserve">. Central-positive flag is </w:t>
      </w:r>
      <w:r>
        <w:rPr>
          <w:rFonts w:ascii="Courier New" w:cs="Courier New" w:eastAsia="Courier New" w:hAnsi="Courier New"/>
          <w:sz w:val="20"/>
          <w:szCs w:val="20"/>
        </w:rPr>
        <w:t xml:space="preserve">ln_central_positive&gt;0</w:t>
      </w:r>
      <w:r>
        <w:t xml:space="preserve">. The MAX aggregation is conservative (any record with positivity counts) and is the convention used in the THYROID_2026 manuscript-feasibility table.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S1.4 Reoperative pre-aggregation</w:t>
      </w:r>
    </w:p>
    <w:p>
      <w:pPr>
        <w:spacing w:after="120" w:before="0" w:line="360"/>
      </w:pPr>
      <w:r>
        <w:t xml:space="preserve">Reoperative context is sourced from </w:t>
      </w:r>
      <w:r>
        <w:rPr>
          <w:rFonts w:ascii="Courier New" w:cs="Courier New" w:eastAsia="Courier New" w:hAnsi="Courier New"/>
          <w:sz w:val="20"/>
          <w:szCs w:val="20"/>
        </w:rPr>
        <w:t xml:space="preserve">manuscript_workspace.cohort_m040_reoperative_v1</w:t>
      </w:r>
      <w:r>
        <w:t xml:space="preserve">, also pre-aggregated to one row per patient with </w:t>
      </w:r>
      <w:r>
        <w:rPr>
          <w:rFonts w:ascii="Courier New" w:cs="Courier New" w:eastAsia="Courier New" w:hAnsi="Courier New"/>
          <w:sz w:val="20"/>
          <w:szCs w:val="20"/>
        </w:rPr>
        <w:t xml:space="preserve">MAX(...)</w:t>
      </w:r>
      <w:r>
        <w:t xml:space="preserve"> over each field. The </w:t>
      </w:r>
      <w:r>
        <w:rPr>
          <w:rFonts w:ascii="Courier New" w:cs="Courier New" w:eastAsia="Courier New" w:hAnsi="Courier New"/>
          <w:sz w:val="20"/>
          <w:szCs w:val="20"/>
        </w:rPr>
        <w:t xml:space="preserve">n_surgeries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days_between_first_second_surgery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completion_reason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completion_histology_type</w:t>
      </w:r>
      <w:r>
        <w:t xml:space="preserve"> are preserved as the maximum/most-recent value per patient. This is appropriate for descriptive use but is a coarse simplification; multi-surgery analytic detail beyond the second surgery requires patient-level linkage to the operative-events canonical table.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S2. Supplementary tables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S1 — Path-proven recurrence by ETE group and tumor size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Notes. Six microscopic-ETE rows have unknown size and are excluded. The microscopic ETE &gt;4 cm cell (5.6%) is the highest microscopic-ETE recurrence rate in any size stratum; this is consistent with prior literature reporting that mETE prognostic effect strengthens in larger tumors.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S2 — Recurrence endpoint comparison (sensitivity)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S3 — Positive-follow-up sensitivity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S4 — Surgery-date-restricted (1999–2024) sensitivity</w:t>
      </w:r>
    </w:p>
    <w:p>
      <w:pPr>
        <w:spacing w:after="120" w:before="0" w:line="360"/>
      </w:pPr>
      <w:r>
        <w:t xml:space="preserve">Within the 3,212 patients with non-missing surgery date in 1999–2024, the gross-vs-microscopic ETE contrast on path-proven recurrence is preserved. Detailed counts available in </w:t>
      </w:r>
      <w:r>
        <w:rPr>
          <w:rFonts w:ascii="Courier New" w:cs="Courier New" w:eastAsia="Courier New" w:hAnsi="Courier New"/>
          <w:sz w:val="20"/>
          <w:szCs w:val="20"/>
        </w:rPr>
        <w:t xml:space="preserve">M044_ETE_analysis.sql</w:t>
      </w:r>
      <w:r>
        <w:t xml:space="preserve"> query 8.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S5 — Lymphatic and vascular invasion separated</w:t>
      </w:r>
    </w:p>
    <w:p>
      <w:pPr>
        <w:spacing w:after="120" w:before="0" w:line="360"/>
      </w:pPr>
      <w:r>
        <w:t xml:space="preserve">Path-proven and composite recurrence rates by joint cell of cleaned lymphatic and vascular categories (top cells by n):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The missing/missing reference cell has the lowest path-proven rate. Cells with extensive vascular or extensive lymphatic invasion have the highest rates. There is no protective signal under any combination.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S6 — Reoperative interaction by ETE group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Reoperation rates are similar in microscopic, gross, and no/negative ETE groups (15–18%), but the no/negative ETE recurred subgroup specifically has 10/29 = 34.5% ≥2-surgery rate, much higher than the ETE-group baseline.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S7 — AJCC stage group cross-tab by ETE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(IVA absent in this cohort by stage-group definition. Stage III rare for any group, consistent with the AJCC 8 reclassification effect on the historical T3 disease.)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S3. Sensitivity analysis narrative</w:t>
      </w:r>
    </w:p>
    <w:p>
      <w:pPr>
        <w:spacing w:after="120" w:before="0" w:line="360"/>
      </w:pPr>
      <w:r>
        <w:rPr>
          <w:b/>
          <w:bCs/>
        </w:rPr>
        <w:t xml:space="preserve">S3.1 Zero-follow-up exclusion.</w:t>
      </w:r>
      <w:r>
        <w:t xml:space="preserve"> Excluding the 1,400 patients with </w:t>
      </w:r>
      <w:r>
        <w:rPr>
          <w:rFonts w:ascii="Courier New" w:cs="Courier New" w:eastAsia="Courier New" w:hAnsi="Courier New"/>
          <w:sz w:val="20"/>
          <w:szCs w:val="20"/>
        </w:rPr>
        <w:t xml:space="preserve">followup_years = 0</w:t>
      </w:r>
      <w:r>
        <w:t xml:space="preserve"> reduces the cohort to 2,728 patients. The path-proven recurrence rates remain qualitatively unchanged: microscopic 0.71/100PY, gross 1.76/100PY, no/negative 1.71/100PY (Supplement Table S3).</w:t>
      </w:r>
    </w:p>
    <w:p>
      <w:pPr>
        <w:spacing w:after="120" w:before="0" w:line="360"/>
      </w:pPr>
      <w:r>
        <w:rPr>
          <w:b/>
          <w:bCs/>
        </w:rPr>
        <w:t xml:space="preserve">S3.2 Surgery-date restriction.</w:t>
      </w:r>
      <w:r>
        <w:t xml:space="preserve"> Restricting to 3,212 patients with surgery dates in 1999–2024 preserves the gross-vs-microscopic ETE contrast and removes 916 patients (914 missing dates + 2 pre-1999 outliers).</w:t>
      </w:r>
    </w:p>
    <w:p>
      <w:pPr>
        <w:spacing w:after="120" w:before="0" w:line="360"/>
      </w:pPr>
      <w:r>
        <w:rPr>
          <w:b/>
          <w:bCs/>
        </w:rPr>
        <w:t xml:space="preserve">S3.3 LN compartment substitution.</w:t>
      </w:r>
      <w:r>
        <w:t xml:space="preserve"> Replacing AJCC 8 N stage with explicit central- and lateral-LN-positive flags does not change the qualitative direction of the gross-ETE coefficient. The flag substitution does, however, weaken the no/negative ETE coefficient further, suggesting that a portion of the no/negative ETE recurrence signal that AJCC 8 N stage does not fully capture is absorbed by the lateral-compartment flag.</w:t>
      </w:r>
    </w:p>
    <w:p>
      <w:pPr>
        <w:spacing w:after="120" w:before="0" w:line="360"/>
      </w:pPr>
      <w:r>
        <w:rPr>
          <w:b/>
          <w:bCs/>
        </w:rPr>
        <w:t xml:space="preserve">S3.4 Endpoint sensitivity.</w:t>
      </w:r>
      <w:r>
        <w:t xml:space="preserve"> The legacy </w:t>
      </w:r>
      <w:r>
        <w:rPr>
          <w:rFonts w:ascii="Courier New" w:cs="Courier New" w:eastAsia="Courier New" w:hAnsi="Courier New"/>
          <w:sz w:val="20"/>
          <w:szCs w:val="20"/>
        </w:rPr>
        <w:t xml:space="preserve">any_recurrence_flag</w:t>
      </w:r>
      <w:r>
        <w:t xml:space="preserve"> model produces inflated event counts (n=503 vs path-proven n=145). The gross-vs-microscopic OR is smaller under the legacy flag (consistent with legacy-flag noise diluting the contrast). The structural-recurrence-flag is not used in any analysis.</w:t>
      </w:r>
    </w:p>
    <w:p>
      <w:pPr>
        <w:spacing w:after="120" w:before="0" w:line="360"/>
      </w:pPr>
      <w:r>
        <w:rPr>
          <w:b/>
          <w:bCs/>
        </w:rPr>
        <w:t xml:space="preserve">S3.5 LVI-vascular separation.</w:t>
      </w:r>
      <w:r>
        <w:t xml:space="preserve"> The primary model already keeps these separate. A pooled-LVI sensitivity (combining lymphatic and vascular into one binary present/absent variable with missing-as-absent) is shown to be the configuration that produces the spurious "protective LVI" association reported in earlier modeling.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S4. Data dictionary (key analytic variables)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S5. PRISMA-style systematic-review summary (literature context)</w:t>
      </w:r>
    </w:p>
    <w:p>
      <w:pPr>
        <w:spacing w:after="120" w:before="0" w:line="360"/>
      </w:pPr>
      <w:r>
        <w:t xml:space="preserve">The Elicit literature report (</w:t>
      </w:r>
      <w:r>
        <w:rPr>
          <w:rFonts w:ascii="Courier New" w:cs="Courier New" w:eastAsia="Courier New" w:hAnsi="Courier New"/>
          <w:sz w:val="20"/>
          <w:szCs w:val="20"/>
        </w:rPr>
        <w:t xml:space="preserve">Elicit - Microscopic vs Gross ETE in Thyroid Cancer Outcome - Report.pdf</w:t>
      </w:r>
      <w:r>
        <w:t xml:space="preserve">) screened 1,000 candidate papers and extracted from 80 sources spanning 2014–2026, with sample sizes from 100 to 177,497 patients. Of the synthesized findings:</w:t>
      </w:r>
    </w:p>
    <w:p>
      <w:pPr>
        <w:pStyle w:val="ListParagraph"/>
        <w:numPr>
          <w:ilvl w:val="0"/>
          <w:numId w:val="2"/>
        </w:numPr>
      </w:pPr>
      <w:r>
        <w:t xml:space="preserve">17 of 80 studies reported mETE as an independent predictor of recurrence; 11 reported no independent prognostic value; the remainder reported mixed or context-dependent findings.</w:t>
      </w:r>
    </w:p>
    <w:p>
      <w:pPr>
        <w:pStyle w:val="ListParagraph"/>
        <w:numPr>
          <w:ilvl w:val="0"/>
          <w:numId w:val="2"/>
        </w:numPr>
      </w:pPr>
      <w:r>
        <w:t xml:space="preserve">Multiple studies reported size-dependent mETE prognostic effect, with stronger associations in tumors &gt;2 cm and in patients ≥55 years.</w:t>
      </w:r>
    </w:p>
    <w:p>
      <w:pPr>
        <w:pStyle w:val="ListParagraph"/>
        <w:numPr>
          <w:ilvl w:val="0"/>
          <w:numId w:val="2"/>
        </w:numPr>
      </w:pPr>
      <w:r>
        <w:t xml:space="preserve">Stage migration with AJCC 8 ranged from 9% to 70%, depending on cohort.</w:t>
      </w:r>
    </w:p>
    <w:p>
      <w:pPr>
        <w:pStyle w:val="ListParagraph"/>
        <w:numPr>
          <w:ilvl w:val="0"/>
          <w:numId w:val="2"/>
        </w:numPr>
      </w:pPr>
      <w:r>
        <w:t xml:space="preserve">A handful of studies reported direct mETE-vs-gETE comparisons; results were mixed but generally supported gETE as a higher-risk feature.</w:t>
      </w:r>
    </w:p>
    <w:p>
      <w:pPr>
        <w:spacing w:after="120" w:before="0" w:line="360"/>
      </w:pPr>
      <w:r>
        <w:t xml:space="preserve">Our cohort contributes to this evidence base by (1) using a strict dual-track recurrence ascertainment, (2) using cleaned source-tracked ETE labeling with explicit handling of present-ungraded and missing categories, and (3) modeling lymphatic and vascular invasion separately with retained missing categories. The path-proven recurrence rate gradient (microscopic 2.3% &lt;&lt; gross 5.8%) and the size-stratified microscopic-ETE recurrence pattern (1.1% at ≤1 cm rising to 5.6% at &gt;4 cm) are consistent with the systematic-review consensus.</w:t>
      </w:r>
    </w:p>
    <w:p>
      <w:pPr>
        <w:spacing w:after="120" w:before="0" w:line="360"/>
      </w:pPr>
      <w:r>
        <w:t xml:space="preserve">End of supplement.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M044 Supplement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M044 Supplement</dc:title>
  <dc:creator>Logan Glosser</dc:creator>
  <cp:lastModifiedBy>Un-named</cp:lastModifiedBy>
  <cp:revision>1</cp:revision>
  <dcterms:created xsi:type="dcterms:W3CDTF">2026-05-01T12:27:56.611Z</dcterms:created>
  <dcterms:modified xsi:type="dcterms:W3CDTF">2026-05-01T12:27:56.611Z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