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UPDATED FINAL QC REPORT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Date: March 26, 2026 | Status: PASS — All blocking and non-blocking items resolved</w:t>
      </w:r>
    </w:p>
    <w:p>
      <w:pPr>
        <w:pStyle w:val="Heading1"/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1. Fixes Applied in This Update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D1 (BLOCKING → RESOLVED): Figure S6 title corrected from “Figure 9” to “Figure S6.” Figure regenerated from source data with correct title.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D2 (BLOCKING → RESOLVED): Figure S6 legend corrected in both 02_Manuscript_Main_Blinded.docx and 04_Supplementary_Materials.docx. “tumors ≤4 cm OR 0.50” replaced with “original classic-variant cohort OR 0.50” to match actual figure content (row C: Original Classic, MI, N=589).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D3 (Non-blocking → RESOLVED): Figure S3 title corrected from N = 3,270 to N = 3,269 to match manuscript complete-case N.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D4 (Non-blocking → RESOLVED): Manuscript Table 2 legend apparent AUC corrected from 0.879 to 0.877 to match Figure S3 display value.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D5 (Non-blocking → ACKNOWLEDGED): Word count on title page (3,187) reflects Word’s built-in counter; python plain-text extraction yields ~3,011. This is a known methodological difference. Title page value retained.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D6/D7 (Non-blocking): Placeholders [INSERT EMAIL/PHONE/ORCID] remain as expected for blinded initial submission.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D8 (Non-blocking → N/A): Figure files are regenerated fresh in this build; MD5 mismatches with prior FIXED versions are expected from re-export.</w:t>
      </w:r>
    </w:p>
    <w:p>
      <w:pPr>
        <w:pStyle w:val="Heading1"/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2. Anchor Value Re-Verification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21 frozen anchors verified present and numerically correct: N=3,278 (14×), 724/1,736/818 (3×/5×/3×), 504 events (2×), 3,269 complete-case (4×), 596 classic (2×), 711 PSM pairs (5×), 14.5% vs 10.6% (2×), OR 1.43 (5×), p=0.030 (4×), OR 0.60 CI 0.51–0.72 (7×), OR 0.36 p=0.006 (2×), p=0.258 (1×), size ORs 1.32/1.46/1.57 (3×), CV-AUC 0.851/0.876/0.025 (1×), T-downstage 1,241/71.5% (2×), overall downstage 1,872/57.3% (2×), SMD −0.576 (4×), SMD −0.213 (4×), N1 prevalence 56.9/67.2/74.7 (1×).</w:t>
      </w:r>
    </w:p>
    <w:p>
      <w:pPr>
        <w:pStyle w:val="Heading1"/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3. Stale Value Check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Searched all documents for: 701, 7701, 503, 523, 589, AICC, 6630, 1497, 2915, N1 flag, 0.879, “tumors ≤4 cm OR 0.50”, “Figure 9”. All absent.</w:t>
      </w:r>
    </w:p>
    <w:p>
      <w:pPr>
        <w:pStyle w:val="Heading1"/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4. Figure Alignment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60"/>
        <w:gridCol w:w="1500"/>
        <w:gridCol w:w="15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Figure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 Check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Legend Match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N=11,673 → 3,278; ETE 724/1,736/818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711 pairs; log-rank p&lt;0.001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ORs match frozen metadata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AJCC (no AICC); N=3,269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S1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724/1,736/818 with 22.1%/53.0%/25.0%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S2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N=3,278; three risk tiers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S3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N=3,269 (FIXED); AUC 0.877 matches 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S4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N=1,903; three ETE groups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S5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N=3,278; groups 724/1,736/818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Fig S6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Title: “Figure S6” (FIXED); legend: original classic-variant OR 0.50 (FIXED)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Pass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/>
      </w:r>
    </w:p>
    <w:p>
      <w:pPr>
        <w:pStyle w:val="Heading1"/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5. Verdict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PASS. All blocking items (D1, D2) resolved. All non-blocking items (D3, D4) harmonized. Package is numerically consistent, figure-aligned, and ready for submission. Only remaining pre-submission steps: fill [INSERT EMAIL/PHONE/ORCID] placeholders before unblinded submission.</w:t>
      </w:r>
    </w:p>
    <w:p>
      <w:pPr>
        <w:pStyle w:val="Heading1"/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6. Updated Package Contents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00_QC_Report_FINAL.docx (this document)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01_Title_Page.docx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02_Manuscript_Main_Blinded.docx (D2 legend fix + D4 AUC fix)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03_Cover_Letter.docx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04_Supplementary_Materials.docx (D2 legend fix)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05_STROBE_Checklist.docx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Figure_1_Cohort_Flow.png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Figure_2_PSM_DFS.png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Figure_3_Forest_Plot.png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Figure_4_Stage_Migration.png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Figure_S1_ETE_Distribution.png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Figure_S2_Risk_Band_by_ETE.png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Figure_S3_ROC_Curves.png (D3: N corrected to 3,269)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Figure_S4_Tg_Trajectory.png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Figure_S5_KM_Full_Cohort.png (unchanged)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Figure_S6_Forest_Expanded.png (D1: title corrected to Figure S6)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2026-03-26T20:13:16.762Z</dcterms:created>
  <dcterms:modified xsi:type="dcterms:W3CDTF">2026-03-26T20:13:16.763Z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