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pPr>
      <w:r>
        <w:rPr>
          <w:rFonts w:ascii="Times New Roman" w:cs="Times New Roman" w:eastAsia="Times New Roman" w:hAnsi="Times New Roman"/>
          <w:sz w:val="24"/>
          <w:szCs w:val="24"/>
        </w:rPr>
        <w:t xml:space="preserve">March 26, 2026</w:t>
      </w:r>
    </w:p>
    <w:p>
      <w:pPr>
        <w:spacing w:after="120" w:line="276"/>
      </w:pPr>
      <w:r>
        <w:rPr>
          <w:rFonts w:ascii="Times New Roman" w:cs="Times New Roman" w:eastAsia="Times New Roman" w:hAnsi="Times New Roman"/>
          <w:sz w:val="24"/>
          <w:szCs w:val="24"/>
        </w:rPr>
        <w:t xml:space="preserve"/>
      </w:r>
    </w:p>
    <w:p>
      <w:pPr>
        <w:spacing w:after="120" w:line="276"/>
      </w:pPr>
      <w:r>
        <w:rPr>
          <w:rFonts w:ascii="Times New Roman" w:cs="Times New Roman" w:eastAsia="Times New Roman" w:hAnsi="Times New Roman"/>
          <w:sz w:val="24"/>
          <w:szCs w:val="24"/>
        </w:rPr>
        <w:t xml:space="preserve">Editor-in-Chief</w:t>
      </w:r>
    </w:p>
    <w:p>
      <w:pPr>
        <w:spacing w:after="120" w:line="276"/>
      </w:pPr>
      <w:r>
        <w:rPr>
          <w:rFonts w:ascii="Times New Roman" w:cs="Times New Roman" w:eastAsia="Times New Roman" w:hAnsi="Times New Roman"/>
          <w:i/>
          <w:iCs/>
          <w:sz w:val="24"/>
          <w:szCs w:val="24"/>
        </w:rPr>
        <w:t xml:space="preserve">Thyroid</w:t>
      </w:r>
    </w:p>
    <w:p>
      <w:pPr>
        <w:spacing w:after="120" w:line="276"/>
      </w:pPr>
      <w:r>
        <w:rPr>
          <w:rFonts w:ascii="Times New Roman" w:cs="Times New Roman" w:eastAsia="Times New Roman" w:hAnsi="Times New Roman"/>
          <w:sz w:val="24"/>
          <w:szCs w:val="24"/>
        </w:rPr>
        <w:t xml:space="preserve"/>
      </w:r>
    </w:p>
    <w:p>
      <w:pPr>
        <w:spacing w:after="120" w:line="276"/>
      </w:pPr>
      <w:r>
        <w:rPr>
          <w:rFonts w:ascii="Times New Roman" w:cs="Times New Roman" w:eastAsia="Times New Roman" w:hAnsi="Times New Roman"/>
          <w:sz w:val="24"/>
          <w:szCs w:val="24"/>
        </w:rPr>
        <w:t xml:space="preserve">Dear Editor,</w:t>
      </w:r>
    </w:p>
    <w:p>
      <w:pPr>
        <w:spacing w:after="120" w:line="276"/>
      </w:pPr>
      <w:r>
        <w:rPr>
          <w:rFonts w:ascii="Times New Roman" w:cs="Times New Roman" w:eastAsia="Times New Roman" w:hAnsi="Times New Roman"/>
          <w:sz w:val="24"/>
          <w:szCs w:val="24"/>
        </w:rPr>
        <w:t xml:space="preserve"/>
      </w:r>
    </w:p>
    <w:p>
      <w:pPr>
        <w:spacing w:after="120" w:line="276"/>
      </w:pPr>
      <w:r>
        <w:rPr>
          <w:rFonts w:ascii="Times New Roman" w:cs="Times New Roman" w:eastAsia="Times New Roman" w:hAnsi="Times New Roman"/>
          <w:sz w:val="24"/>
          <w:szCs w:val="24"/>
        </w:rPr>
        <w:t xml:space="preserve">We are pleased to submit our manuscript entitled </w:t>
      </w:r>
      <w:r>
        <w:rPr>
          <w:rFonts w:ascii="Times New Roman" w:cs="Times New Roman" w:eastAsia="Times New Roman" w:hAnsi="Times New Roman"/>
          <w:i/>
          <w:iCs/>
          <w:sz w:val="24"/>
          <w:szCs w:val="24"/>
        </w:rPr>
        <w:t xml:space="preserve">“Microscopic Extrathyroidal Extension in Papillary Thyroid Carcinoma: Divergent Associations Using Staging-Derived and Structural Disease Endpoints”</w:t>
      </w:r>
      <w:r>
        <w:rPr>
          <w:rFonts w:ascii="Times New Roman" w:cs="Times New Roman" w:eastAsia="Times New Roman" w:hAnsi="Times New Roman"/>
          <w:sz w:val="24"/>
          <w:szCs w:val="24"/>
        </w:rPr>
        <w:t xml:space="preserve"> for consideration as an Original Study in </w:t>
      </w:r>
      <w:r>
        <w:rPr>
          <w:rFonts w:ascii="Times New Roman" w:cs="Times New Roman" w:eastAsia="Times New Roman" w:hAnsi="Times New Roman"/>
          <w:i/>
          <w:iCs/>
          <w:sz w:val="24"/>
          <w:szCs w:val="24"/>
        </w:rPr>
        <w:t xml:space="preserve">Thyroid</w:t>
      </w:r>
      <w:r>
        <w:rPr>
          <w:rFonts w:ascii="Times New Roman" w:cs="Times New Roman" w:eastAsia="Times New Roman" w:hAnsi="Times New Roman"/>
          <w:sz w:val="24"/>
          <w:szCs w:val="24"/>
        </w:rPr>
        <w:t xml:space="preserve">.</w:t>
      </w:r>
    </w:p>
    <w:p>
      <w:pPr>
        <w:spacing w:after="120" w:line="276"/>
      </w:pPr>
      <w:r>
        <w:rPr>
          <w:rFonts w:ascii="Times New Roman" w:cs="Times New Roman" w:eastAsia="Times New Roman" w:hAnsi="Times New Roman"/>
          <w:sz w:val="24"/>
          <w:szCs w:val="24"/>
        </w:rPr>
        <w:t xml:space="preserve">This study addresses a timely question directly relevant to the 2025 ATA Management Guidelines: whether microscopic extrathyroidal extension (mETE) carries clinically meaningful prognostic significance that current staging and risk stratification systems may not fully capture. We believe the following contributions are of particular interest to your readership:</w:t>
      </w:r>
    </w:p>
    <w:p>
      <w:pPr>
        <w:spacing w:after="120" w:line="276"/>
      </w:pPr>
      <w:r>
        <w:rPr>
          <w:rFonts w:ascii="Times New Roman" w:cs="Times New Roman" w:eastAsia="Times New Roman" w:hAnsi="Times New Roman"/>
          <w:b/>
          <w:bCs/>
          <w:sz w:val="24"/>
          <w:szCs w:val="24"/>
        </w:rPr>
        <w:t xml:space="preserve">Endpoint-dependent mETE associations within a single cohort. </w:t>
      </w:r>
      <w:r>
        <w:rPr>
          <w:rFonts w:ascii="Times New Roman" w:cs="Times New Roman" w:eastAsia="Times New Roman" w:hAnsi="Times New Roman"/>
          <w:sz w:val="24"/>
          <w:szCs w:val="24"/>
        </w:rPr>
        <w:t xml:space="preserve">We show that mETE yielded differing associations depending on endpoint in the same 3,278-patient PTC cohort (OR 0.60 on a composite staging-derived proxy vs. OR 1.43 on propensity-matched structural disease, p = 0.030), suggesting that much of the apparent heterogeneity in the literature may reflect endpoint selection.</w:t>
      </w:r>
    </w:p>
    <w:p>
      <w:pPr>
        <w:spacing w:after="120" w:line="276"/>
      </w:pPr>
      <w:r>
        <w:rPr>
          <w:rFonts w:ascii="Times New Roman" w:cs="Times New Roman" w:eastAsia="Times New Roman" w:hAnsi="Times New Roman"/>
          <w:b/>
          <w:bCs/>
          <w:sz w:val="24"/>
          <w:szCs w:val="24"/>
        </w:rPr>
        <w:t xml:space="preserve">CT imaging timing characterization. </w:t>
      </w:r>
      <w:r>
        <w:rPr>
          <w:rFonts w:ascii="Times New Roman" w:cs="Times New Roman" w:eastAsia="Times New Roman" w:hAnsi="Times New Roman"/>
          <w:sz w:val="24"/>
          <w:szCs w:val="24"/>
        </w:rPr>
        <w:t xml:space="preserve">Analysis of 1,245 CT-detected pathologic lymphadenopathy events among 331 patients with ≥1 pathologic-flagged examination shows that 508 events (40.8%) were preoperative and 73 (5.9%) perioperative (≤30 days post-surgery), together comprising 46.7% likely reflecting staging workup; 14.0% occurred at 31–365 days; and 39.4% beyond one year. The peri-operative component is quantified and its expected bias direction characterized, allowing the structural estimate to be placed in appropriate context.</w:t>
      </w:r>
    </w:p>
    <w:p>
      <w:pPr>
        <w:spacing w:after="120" w:line="276"/>
      </w:pPr>
      <w:r>
        <w:rPr>
          <w:rFonts w:ascii="Times New Roman" w:cs="Times New Roman" w:eastAsia="Times New Roman" w:hAnsi="Times New Roman"/>
          <w:b/>
          <w:bCs/>
          <w:sz w:val="24"/>
          <w:szCs w:val="24"/>
        </w:rPr>
        <w:t xml:space="preserve">Hypothesis-generating mETE × nodal-status interaction. </w:t>
      </w:r>
      <w:r>
        <w:rPr>
          <w:rFonts w:ascii="Times New Roman" w:cs="Times New Roman" w:eastAsia="Times New Roman" w:hAnsi="Times New Roman"/>
          <w:sz w:val="24"/>
          <w:szCs w:val="24"/>
        </w:rPr>
        <w:t xml:space="preserve">The interaction (OR 0.36, p = 0.006) suggests that any adverse structural association of mETE may be concentrated in node-negative patients, consistent with the 2025 ATA guidelines’ emphasis on individualized surveillance.</w:t>
      </w:r>
    </w:p>
    <w:p>
      <w:pPr>
        <w:spacing w:after="120" w:line="276"/>
      </w:pPr>
      <w:r>
        <w:rPr>
          <w:rFonts w:ascii="Times New Roman" w:cs="Times New Roman" w:eastAsia="Times New Roman" w:hAnsi="Times New Roman"/>
          <w:b/>
          <w:bCs/>
          <w:sz w:val="24"/>
          <w:szCs w:val="24"/>
        </w:rPr>
        <w:t xml:space="preserve">Reproducible analysis with archived repository. </w:t>
      </w:r>
      <w:r>
        <w:rPr>
          <w:rFonts w:ascii="Times New Roman" w:cs="Times New Roman" w:eastAsia="Times New Roman" w:hAnsi="Times New Roman"/>
          <w:sz w:val="24"/>
          <w:szCs w:val="24"/>
        </w:rPr>
        <w:t xml:space="preserve">All analytic code, audit pipeline, and data views are archived at Zenodo (https://doi.org/10.5281/zenodo.18945510), with outputs traceable to specific commits. A supplementary literature review (819 studies screened, 80 extracted) contextualizes institutional findings within the broader evidence base.</w:t>
      </w:r>
    </w:p>
    <w:p>
      <w:pPr>
        <w:spacing w:after="120" w:line="276"/>
      </w:pPr>
      <w:r>
        <w:rPr>
          <w:rFonts w:ascii="Times New Roman" w:cs="Times New Roman" w:eastAsia="Times New Roman" w:hAnsi="Times New Roman"/>
          <w:sz w:val="24"/>
          <w:szCs w:val="24"/>
        </w:rPr>
        <w:t xml:space="preserve">The main text includes 4 tables and 4 figures; additional tables, figures, the STROBE checklist, supplementary literature review evidence table, and eAppendix are provided as supplementary materials. The manuscript has not been published or submitted elsewhere. All authors have approved the manuscript and declare no conflicts of interest.</w:t>
      </w:r>
    </w:p>
    <w:p>
      <w:pPr>
        <w:spacing w:after="120" w:line="276"/>
      </w:pPr>
      <w:r>
        <w:rPr>
          <w:rFonts w:ascii="Times New Roman" w:cs="Times New Roman" w:eastAsia="Times New Roman" w:hAnsi="Times New Roman"/>
          <w:sz w:val="24"/>
          <w:szCs w:val="24"/>
        </w:rPr>
        <w:t xml:space="preserve">We believe this work will be of interest to the thyroid cancer research community and clinicians integrating the 2025 ATA guidelines. We look forward to your consideration.</w:t>
      </w:r>
    </w:p>
    <w:p>
      <w:pPr>
        <w:spacing w:after="120" w:line="276"/>
      </w:pPr>
      <w:r>
        <w:rPr>
          <w:rFonts w:ascii="Times New Roman" w:cs="Times New Roman" w:eastAsia="Times New Roman" w:hAnsi="Times New Roman"/>
          <w:sz w:val="24"/>
          <w:szCs w:val="24"/>
        </w:rPr>
        <w:t xml:space="preserve"/>
      </w:r>
    </w:p>
    <w:p>
      <w:pPr>
        <w:spacing w:after="120" w:line="276"/>
      </w:pPr>
      <w:r>
        <w:rPr>
          <w:rFonts w:ascii="Times New Roman" w:cs="Times New Roman" w:eastAsia="Times New Roman" w:hAnsi="Times New Roman"/>
          <w:sz w:val="24"/>
          <w:szCs w:val="24"/>
        </w:rPr>
        <w:t xml:space="preserve">Sincerely,</w:t>
      </w:r>
    </w:p>
    <w:p>
      <w:pPr>
        <w:spacing w:after="120" w:line="276"/>
      </w:pPr>
      <w:r>
        <w:rPr>
          <w:rFonts w:ascii="Times New Roman" w:cs="Times New Roman" w:eastAsia="Times New Roman" w:hAnsi="Times New Roman"/>
          <w:sz w:val="24"/>
          <w:szCs w:val="24"/>
        </w:rPr>
        <w:t xml:space="preserve"/>
      </w:r>
    </w:p>
    <w:p>
      <w:pPr>
        <w:spacing w:after="120" w:line="276"/>
      </w:pPr>
      <w:r>
        <w:rPr>
          <w:rFonts w:ascii="Times New Roman" w:cs="Times New Roman" w:eastAsia="Times New Roman" w:hAnsi="Times New Roman"/>
          <w:b/>
          <w:bCs/>
          <w:sz w:val="24"/>
          <w:szCs w:val="24"/>
        </w:rPr>
        <w:t xml:space="preserve">Logan D. Glosser, MD</w:t>
      </w:r>
    </w:p>
    <w:p>
      <w:pPr>
        <w:spacing w:after="120" w:line="276"/>
      </w:pPr>
      <w:r>
        <w:rPr>
          <w:rFonts w:ascii="Times New Roman" w:cs="Times New Roman" w:eastAsia="Times New Roman" w:hAnsi="Times New Roman"/>
          <w:sz w:val="24"/>
          <w:szCs w:val="24"/>
        </w:rPr>
        <w:t xml:space="preserve">Department of GI and General Surgery</w:t>
      </w:r>
    </w:p>
    <w:p>
      <w:pPr>
        <w:spacing w:after="120" w:line="276"/>
      </w:pPr>
      <w:r>
        <w:rPr>
          <w:rFonts w:ascii="Times New Roman" w:cs="Times New Roman" w:eastAsia="Times New Roman" w:hAnsi="Times New Roman"/>
          <w:sz w:val="24"/>
          <w:szCs w:val="24"/>
        </w:rPr>
        <w:t xml:space="preserve">Emory University School of Medicine</w:t>
      </w:r>
    </w:p>
    <w:p>
      <w:pPr>
        <w:spacing w:after="120" w:line="276"/>
      </w:pPr>
      <w:r>
        <w:rPr>
          <w:rFonts w:ascii="Times New Roman" w:cs="Times New Roman" w:eastAsia="Times New Roman" w:hAnsi="Times New Roman"/>
          <w:sz w:val="24"/>
          <w:szCs w:val="24"/>
        </w:rPr>
        <w:t xml:space="preserve">Atlanta, GA</w:t>
      </w:r>
    </w:p>
    <w:p>
      <w:pPr>
        <w:spacing w:after="120" w:line="276"/>
      </w:pPr>
      <w:r>
        <w:rPr>
          <w:rFonts w:ascii="Times New Roman" w:cs="Times New Roman" w:eastAsia="Times New Roman" w:hAnsi="Times New Roman"/>
          <w:sz w:val="24"/>
          <w:szCs w:val="24"/>
        </w:rPr>
        <w:t xml:space="preserve">[INSERT CORRESPONDING AUTHOR EMAIL] | ORCID: [INSERT ORCID]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2026-03-26T19:49:43.590Z</dcterms:created>
  <dcterms:modified xsi:type="dcterms:W3CDTF">2026-03-26T19:49:43.591Z</dcterms:modified>
</cp:coreProperties>
</file>

<file path=docProps/custom.xml><?xml version="1.0" encoding="utf-8"?>
<Properties xmlns="http://schemas.openxmlformats.org/officeDocument/2006/custom-properties" xmlns:vt="http://schemas.openxmlformats.org/officeDocument/2006/docPropsVTypes"/>
</file>