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b/>
          <w:bCs/>
          <w:sz w:val="32"/>
          <w:szCs w:val="32"/>
        </w:rPr>
        <w:t xml:space="preserve">SUPPLEMENTARY MATERIALS</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b/>
          <w:bCs/>
          <w:sz w:val="24"/>
          <w:szCs w:val="24"/>
        </w:rPr>
        <w:t xml:space="preserve">Microscopic Extrathyroidal Extension in Papillary Thyroid Carcinoma: Divergent Associations Using Staging-Derived and Structural Disease Endpoints</w:t>
      </w:r>
    </w:p>
    <w:p>
      <w:pPr>
        <w:pStyle w:val="Heading1"/>
        <w:spacing w:after="200" w:before="360"/>
      </w:pPr>
      <w:r>
        <w:rPr>
          <w:rFonts w:ascii="Times New Roman" w:cs="Times New Roman" w:eastAsia="Times New Roman" w:hAnsi="Times New Roman"/>
          <w:b/>
          <w:bCs/>
          <w:sz w:val="28"/>
          <w:szCs w:val="28"/>
        </w:rPr>
        <w:t xml:space="preserve">SUPPLEMENTARY METHODS</w:t>
      </w:r>
    </w:p>
    <w:p>
      <w:pPr>
        <w:spacing w:after="120" w:line="276"/>
      </w:pPr>
      <w:r>
        <w:rPr>
          <w:rFonts w:ascii="Times New Roman" w:cs="Times New Roman" w:eastAsia="Times New Roman" w:hAnsi="Times New Roman"/>
          <w:b/>
          <w:bCs/>
          <w:i/>
          <w:iCs/>
          <w:sz w:val="24"/>
          <w:szCs w:val="24"/>
        </w:rPr>
        <w:t xml:space="preserve">Analytic Views and Variable Derivation</w:t>
      </w:r>
    </w:p>
    <w:p>
      <w:pPr>
        <w:spacing w:after="120" w:line="276"/>
      </w:pPr>
      <w:r>
        <w:rPr>
          <w:rFonts w:ascii="Times New Roman" w:cs="Times New Roman" w:eastAsia="Times New Roman" w:hAnsi="Times New Roman"/>
          <w:sz w:val="24"/>
          <w:szCs w:val="24"/>
        </w:rPr>
        <w:t xml:space="preserve">The study cohort was derived from two purpose-built analytical views within a MotherDuck/DuckDB lakehouse: </w:t>
      </w:r>
      <w:r>
        <w:rPr>
          <w:rFonts w:ascii="Times New Roman" w:cs="Times New Roman" w:eastAsia="Times New Roman" w:hAnsi="Times New Roman"/>
          <w:i/>
          <w:iCs/>
          <w:sz w:val="24"/>
          <w:szCs w:val="24"/>
        </w:rPr>
        <w:t xml:space="preserve">ptc_cohort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recurrence_risk_cohort</w:t>
      </w:r>
      <w:r>
        <w:rPr>
          <w:rFonts w:ascii="Times New Roman" w:cs="Times New Roman" w:eastAsia="Times New Roman" w:hAnsi="Times New Roman"/>
          <w:sz w:val="24"/>
          <w:szCs w:val="24"/>
        </w:rPr>
        <w:t xml:space="preserve">. The three-tier ETE classification used structured pathology fields: (a) No ETE (</w:t>
      </w:r>
      <w:r>
        <w:rPr>
          <w:rFonts w:ascii="Times New Roman" w:cs="Times New Roman" w:eastAsia="Times New Roman" w:hAnsi="Times New Roman"/>
          <w:i/>
          <w:iCs/>
          <w:sz w:val="24"/>
          <w:szCs w:val="24"/>
        </w:rPr>
        <w:t xml:space="preserve">tumor_1_extrathyroidal_ext</w:t>
      </w:r>
      <w:r>
        <w:rPr>
          <w:rFonts w:ascii="Times New Roman" w:cs="Times New Roman" w:eastAsia="Times New Roman" w:hAnsi="Times New Roman"/>
          <w:sz w:val="24"/>
          <w:szCs w:val="24"/>
        </w:rPr>
        <w:t xml:space="preserve"> = False); (b) mETE (</w:t>
      </w:r>
      <w:r>
        <w:rPr>
          <w:rFonts w:ascii="Times New Roman" w:cs="Times New Roman" w:eastAsia="Times New Roman" w:hAnsi="Times New Roman"/>
          <w:i/>
          <w:iCs/>
          <w:sz w:val="24"/>
          <w:szCs w:val="24"/>
        </w:rPr>
        <w:t xml:space="preserve">tumor_1_extrathyroidal_ext</w:t>
      </w:r>
      <w:r>
        <w:rPr>
          <w:rFonts w:ascii="Times New Roman" w:cs="Times New Roman" w:eastAsia="Times New Roman" w:hAnsi="Times New Roman"/>
          <w:sz w:val="24"/>
          <w:szCs w:val="24"/>
        </w:rPr>
        <w:t xml:space="preserve"> = True AND </w:t>
      </w:r>
      <w:r>
        <w:rPr>
          <w:rFonts w:ascii="Times New Roman" w:cs="Times New Roman" w:eastAsia="Times New Roman" w:hAnsi="Times New Roman"/>
          <w:i/>
          <w:iCs/>
          <w:sz w:val="24"/>
          <w:szCs w:val="24"/>
        </w:rPr>
        <w:t xml:space="preserve">tumor_1_gross_ete</w:t>
      </w:r>
      <w:r>
        <w:rPr>
          <w:rFonts w:ascii="Times New Roman" w:cs="Times New Roman" w:eastAsia="Times New Roman" w:hAnsi="Times New Roman"/>
          <w:sz w:val="24"/>
          <w:szCs w:val="24"/>
        </w:rPr>
        <w:t xml:space="preserve"> ≠ 1); (c) Gross ETE (</w:t>
      </w:r>
      <w:r>
        <w:rPr>
          <w:rFonts w:ascii="Times New Roman" w:cs="Times New Roman" w:eastAsia="Times New Roman" w:hAnsi="Times New Roman"/>
          <w:i/>
          <w:iCs/>
          <w:sz w:val="24"/>
          <w:szCs w:val="24"/>
        </w:rPr>
        <w:t xml:space="preserve">tumor_1_gross_ete</w:t>
      </w:r>
      <w:r>
        <w:rPr>
          <w:rFonts w:ascii="Times New Roman" w:cs="Times New Roman" w:eastAsia="Times New Roman" w:hAnsi="Times New Roman"/>
          <w:sz w:val="24"/>
          <w:szCs w:val="24"/>
        </w:rPr>
        <w:t xml:space="preserve"> = 1). The composite risk band was derived as: high if AJCC 8th stage ≥ III OR gross ETE OR tg_max ≥ 10; intermediate if stage II OR tg_max ≥ 2; otherwise low. Full derivation logic is in </w:t>
      </w:r>
      <w:r>
        <w:rPr>
          <w:rFonts w:ascii="Times New Roman" w:cs="Times New Roman" w:eastAsia="Times New Roman" w:hAnsi="Times New Roman"/>
          <w:i/>
          <w:iCs/>
          <w:sz w:val="24"/>
          <w:szCs w:val="24"/>
        </w:rPr>
        <w:t xml:space="preserve">scripts/03_research_views.py</w:t>
      </w:r>
      <w:r>
        <w:rPr>
          <w:rFonts w:ascii="Times New Roman" w:cs="Times New Roman" w:eastAsia="Times New Roman" w:hAnsi="Times New Roman"/>
          <w:sz w:val="24"/>
          <w:szCs w:val="24"/>
        </w:rPr>
        <w:t xml:space="preserve"> (Zenodo archive: https://doi.org/10.5281/zenodo.18945510).</w:t>
      </w:r>
    </w:p>
    <w:p>
      <w:pPr>
        <w:spacing w:after="120" w:line="276"/>
      </w:pPr>
      <w:r>
        <w:rPr>
          <w:rFonts w:ascii="Times New Roman" w:cs="Times New Roman" w:eastAsia="Times New Roman" w:hAnsi="Times New Roman"/>
          <w:b/>
          <w:bCs/>
          <w:i/>
          <w:iCs/>
          <w:sz w:val="24"/>
          <w:szCs w:val="24"/>
        </w:rPr>
        <w:t xml:space="preserve">Nodal Variable Roles</w:t>
      </w:r>
    </w:p>
    <w:p>
      <w:pPr>
        <w:spacing w:after="120" w:line="276"/>
      </w:pPr>
      <w:r>
        <w:rPr>
          <w:rFonts w:ascii="Times New Roman" w:cs="Times New Roman" w:eastAsia="Times New Roman" w:hAnsi="Times New Roman"/>
          <w:sz w:val="24"/>
          <w:szCs w:val="24"/>
        </w:rPr>
        <w:t xml:space="preserve">Two nodal-status variables appeared in different analytic contexts. The lymph node ratio (</w:t>
      </w:r>
      <w:r>
        <w:rPr>
          <w:rFonts w:ascii="Times New Roman" w:cs="Times New Roman" w:eastAsia="Times New Roman" w:hAnsi="Times New Roman"/>
          <w:i/>
          <w:iCs/>
          <w:sz w:val="24"/>
          <w:szCs w:val="24"/>
        </w:rPr>
        <w:t xml:space="preserve">histology_1_ln_ratio</w:t>
      </w:r>
      <w:r>
        <w:rPr>
          <w:rFonts w:ascii="Times New Roman" w:cs="Times New Roman" w:eastAsia="Times New Roman" w:hAnsi="Times New Roman"/>
          <w:sz w:val="24"/>
          <w:szCs w:val="24"/>
        </w:rPr>
        <w:t xml:space="preserve">), defined as the proportion of examined nodes that were positive, was used as a covariate in ordinal logistic regression; in practice, 99.0% of values in the analytic cohort were 0 or 1, so it functioned as a binary indicator and is labeled accordingly in Table 2. Separately, the N1 status variable (</w:t>
      </w:r>
      <w:r>
        <w:rPr>
          <w:rFonts w:ascii="Times New Roman" w:cs="Times New Roman" w:eastAsia="Times New Roman" w:hAnsi="Times New Roman"/>
          <w:i/>
          <w:iCs/>
          <w:sz w:val="24"/>
          <w:szCs w:val="24"/>
        </w:rPr>
        <w:t xml:space="preserve">ct_pathologic_ln_flag</w:t>
      </w:r>
      <w:r>
        <w:rPr>
          <w:rFonts w:ascii="Times New Roman" w:cs="Times New Roman" w:eastAsia="Times New Roman" w:hAnsi="Times New Roman"/>
          <w:sz w:val="24"/>
          <w:szCs w:val="24"/>
        </w:rPr>
        <w:t xml:space="preserve">), indicating any pathologic node-positive disease, was used in propensity score matching to balance nodal burden between mETE and no-ETE groups. Both variables capture nodal involvement but at different levels of granularity; their roles are analytically distinct and are not interchangeable in the models reported.</w:t>
      </w:r>
    </w:p>
    <w:p>
      <w:pPr>
        <w:spacing w:after="120" w:line="276"/>
      </w:pPr>
      <w:r>
        <w:rPr>
          <w:rFonts w:ascii="Times New Roman" w:cs="Times New Roman" w:eastAsia="Times New Roman" w:hAnsi="Times New Roman"/>
          <w:b/>
          <w:bCs/>
          <w:i/>
          <w:iCs/>
          <w:sz w:val="24"/>
          <w:szCs w:val="24"/>
        </w:rPr>
        <w:t xml:space="preserve">CT Imaging Timing</w:t>
      </w:r>
    </w:p>
    <w:p>
      <w:pPr>
        <w:spacing w:after="120" w:line="276"/>
      </w:pPr>
      <w:r>
        <w:rPr>
          <w:rFonts w:ascii="Times New Roman" w:cs="Times New Roman" w:eastAsia="Times New Roman" w:hAnsi="Times New Roman"/>
          <w:sz w:val="24"/>
          <w:szCs w:val="24"/>
        </w:rPr>
        <w:t xml:space="preserve">A database-level linkage joined all CT examination date fields to each patient’s first surgery date, achieving 100% date coverage after NLP recovery of 50 previously missing dates. Within the PTC analytic cohort, this linkage produced </w:t>
      </w:r>
      <w:r>
        <w:rPr>
          <w:rFonts w:ascii="Times New Roman" w:cs="Times New Roman" w:eastAsia="Times New Roman" w:hAnsi="Times New Roman"/>
          <w:i/>
          <w:iCs/>
          <w:sz w:val="24"/>
          <w:szCs w:val="24"/>
        </w:rPr>
        <w:t xml:space="preserve">ptc_ct_imaging_events</w:t>
      </w:r>
      <w:r>
        <w:rPr>
          <w:rFonts w:ascii="Times New Roman" w:cs="Times New Roman" w:eastAsia="Times New Roman" w:hAnsi="Times New Roman"/>
          <w:sz w:val="24"/>
          <w:szCs w:val="24"/>
        </w:rPr>
        <w:t xml:space="preserve"> (3,018 rows, 650 PTC patients). Among these, 331 patients had ≥1 row with </w:t>
      </w:r>
      <w:r>
        <w:rPr>
          <w:rFonts w:ascii="Times New Roman" w:cs="Times New Roman" w:eastAsia="Times New Roman" w:hAnsi="Times New Roman"/>
          <w:i/>
          <w:iCs/>
          <w:sz w:val="24"/>
          <w:szCs w:val="24"/>
        </w:rPr>
        <w:t xml:space="preserve">ct_pathologic_ln_flag</w:t>
      </w:r>
      <w:r>
        <w:rPr>
          <w:rFonts w:ascii="Times New Roman" w:cs="Times New Roman" w:eastAsia="Times New Roman" w:hAnsi="Times New Roman"/>
          <w:sz w:val="24"/>
          <w:szCs w:val="24"/>
        </w:rPr>
        <w:t xml:space="preserve"> = True, yielding 1,245 flagged examination rows. Timing categories for these 1,245 events: 508 preoperative, 73 perioperative (≤30 days post-surgery), 174 postoperative 31–364 days, and 490 postoperative ≥365 days.</w:t>
      </w:r>
    </w:p>
    <w:p>
      <w:pPr>
        <w:spacing w:after="120" w:line="276"/>
      </w:pPr>
      <w:r>
        <w:rPr>
          <w:rFonts w:ascii="Times New Roman" w:cs="Times New Roman" w:eastAsia="Times New Roman" w:hAnsi="Times New Roman"/>
          <w:b/>
          <w:bCs/>
          <w:i/>
          <w:iCs/>
          <w:sz w:val="24"/>
          <w:szCs w:val="24"/>
        </w:rPr>
        <w:t xml:space="preserve">Supplementary Literature Review</w:t>
      </w:r>
    </w:p>
    <w:p>
      <w:pPr>
        <w:spacing w:after="120" w:line="276"/>
      </w:pPr>
      <w:r>
        <w:rPr>
          <w:rFonts w:ascii="Times New Roman" w:cs="Times New Roman" w:eastAsia="Times New Roman" w:hAnsi="Times New Roman"/>
          <w:sz w:val="24"/>
          <w:szCs w:val="24"/>
        </w:rPr>
        <w:t xml:space="preserve">An Elicit AI-augmented review searched 138 million papers, retrieved 1,000, screened 819, and extracted 80 with 10 pre-specified columns. All extracted data were verified by the authors.</w:t>
      </w:r>
    </w:p>
    <w:p>
      <w:pPr>
        <w:spacing w:after="120" w:line="276"/>
      </w:pPr>
      <w:r>
        <w:rPr>
          <w:rFonts w:ascii="Times New Roman" w:cs="Times New Roman" w:eastAsia="Times New Roman" w:hAnsi="Times New Roman"/>
          <w:b/>
          <w:bCs/>
          <w:i/>
          <w:iCs/>
          <w:sz w:val="24"/>
          <w:szCs w:val="24"/>
        </w:rPr>
        <w:t xml:space="preserve">PSM Sensitivity Analysis</w:t>
      </w:r>
    </w:p>
    <w:p>
      <w:pPr>
        <w:spacing w:after="120" w:line="276"/>
      </w:pPr>
      <w:r>
        <w:rPr>
          <w:rFonts w:ascii="Times New Roman" w:cs="Times New Roman" w:eastAsia="Times New Roman" w:hAnsi="Times New Roman"/>
          <w:sz w:val="24"/>
          <w:szCs w:val="24"/>
        </w:rPr>
        <w:t xml:space="preserve">As a sensitivity check, propensity score matching was repeated with a wider caliper (0.20 vs. 0.05 in the primary analysis). This yielded 712 matched pairs (vs. 711 in the primary analysis) with a similar but attenuated point estimate: OR 1.30, Fisher p = 0.13. The directional consistency supports the primary finding, while the loss of statistical significance underscores the sensitivity of the PSM estimate to matching parameters and reinforces the exploratory nature of the structural-endpoint analysis.</w:t>
      </w:r>
    </w:p>
    <w:p>
      <w:r>
        <w:br w:type="page"/>
      </w:r>
    </w:p>
    <w:p>
      <w:pPr>
        <w:pStyle w:val="Heading1"/>
        <w:spacing w:after="200" w:before="360"/>
      </w:pPr>
      <w:r>
        <w:rPr>
          <w:rFonts w:ascii="Times New Roman" w:cs="Times New Roman" w:eastAsia="Times New Roman" w:hAnsi="Times New Roman"/>
          <w:b/>
          <w:bCs/>
          <w:sz w:val="28"/>
          <w:szCs w:val="28"/>
        </w:rPr>
        <w:t xml:space="preserve">SUPPLEMENTARY TABLES</w:t>
      </w:r>
    </w:p>
    <w:p>
      <w:pPr>
        <w:spacing w:after="120" w:line="276"/>
      </w:pPr>
      <w:r>
        <w:rPr>
          <w:rFonts w:ascii="Times New Roman" w:cs="Times New Roman" w:eastAsia="Times New Roman" w:hAnsi="Times New Roman"/>
          <w:b/>
          <w:bCs/>
          <w:sz w:val="24"/>
          <w:szCs w:val="24"/>
        </w:rPr>
        <w:t xml:space="preserve">Supplementary Table S1. </w:t>
      </w:r>
      <w:r>
        <w:rPr>
          <w:rFonts w:ascii="Times New Roman" w:cs="Times New Roman" w:eastAsia="Times New Roman" w:hAnsi="Times New Roman"/>
          <w:sz w:val="24"/>
          <w:szCs w:val="24"/>
        </w:rPr>
        <w:t xml:space="preserve">Literature review evidence table (80 studies).</w:t>
      </w:r>
    </w:p>
    <w:p>
      <w:pPr>
        <w:spacing w:after="120" w:line="276"/>
      </w:pPr>
      <w:r>
        <w:rPr>
          <w:rFonts w:ascii="Times New Roman" w:cs="Times New Roman" w:eastAsia="Times New Roman" w:hAnsi="Times New Roman"/>
          <w:i/>
          <w:iCs/>
          <w:sz w:val="24"/>
          <w:szCs w:val="24"/>
        </w:rPr>
        <w:t xml:space="preserve">Available as a separate spreadsheet file (Table_S1_Literature_Review.xlsx). Columns: Study, Year, Design, N, ETE Definition, Endpoint Type, Tumor Size Range, Age Stratification, Treatment Adjustment, Main Finding (HR/OR with 95% CI), Quality Assessment.</w:t>
      </w:r>
    </w:p>
    <w:p>
      <w:pPr>
        <w:spacing w:after="120" w:line="276"/>
      </w:pPr>
      <w:r>
        <w:rPr>
          <w:rFonts w:ascii="Times New Roman" w:cs="Times New Roman" w:eastAsia="Times New Roman" w:hAnsi="Times New Roman"/>
          <w:b/>
          <w:bCs/>
          <w:sz w:val="24"/>
          <w:szCs w:val="24"/>
        </w:rPr>
        <w:t xml:space="preserve">Supplementary Table S2. </w:t>
      </w:r>
      <w:r>
        <w:rPr>
          <w:rFonts w:ascii="Times New Roman" w:cs="Times New Roman" w:eastAsia="Times New Roman" w:hAnsi="Times New Roman"/>
          <w:sz w:val="24"/>
          <w:szCs w:val="24"/>
        </w:rPr>
        <w:t xml:space="preserve">Stage migration from AJCC 7th to 8th edition (N = 3,269).</w:t>
      </w:r>
    </w:p>
    <w:p>
      <w:pPr>
        <w:spacing w:after="120" w:line="276"/>
      </w:pPr>
      <w:r>
        <w:rPr>
          <w:rFonts w:ascii="Times New Roman" w:cs="Times New Roman" w:eastAsia="Times New Roman" w:hAnsi="Times New Roman"/>
          <w:i/>
          <w:iCs/>
          <w:sz w:val="24"/>
          <w:szCs w:val="24"/>
        </w:rPr>
        <w:t xml:space="preserve">*McNemar test.</w:t>
      </w:r>
    </w:p>
    <w:p>
      <w:pPr>
        <w:spacing w:after="120" w:line="276"/>
      </w:pPr>
      <w:r>
        <w:rPr>
          <w:rFonts w:ascii="Times New Roman" w:cs="Times New Roman" w:eastAsia="Times New Roman" w:hAnsi="Times New Roman"/>
          <w:b/>
          <w:bCs/>
          <w:sz w:val="24"/>
          <w:szCs w:val="24"/>
        </w:rPr>
        <w:t xml:space="preserve">Supplementary Table S3. </w:t>
      </w:r>
      <w:r>
        <w:rPr>
          <w:rFonts w:ascii="Times New Roman" w:cs="Times New Roman" w:eastAsia="Times New Roman" w:hAnsi="Times New Roman"/>
          <w:sz w:val="24"/>
          <w:szCs w:val="24"/>
        </w:rPr>
        <w:t xml:space="preserve">Subgroup mETE odds ratios on composite recurrence-risk band.</w:t>
      </w:r>
    </w:p>
    <w:p>
      <w:pPr>
        <w:spacing w:after="120" w:line="276"/>
      </w:pPr>
      <w:r>
        <w:rPr>
          <w:rFonts w:ascii="Times New Roman" w:cs="Times New Roman" w:eastAsia="Times New Roman" w:hAnsi="Times New Roman"/>
          <w:i/>
          <w:iCs/>
          <w:sz w:val="24"/>
          <w:szCs w:val="24"/>
        </w:rPr>
        <w:t xml:space="preserve">ORs &lt; 1 = lower odds of higher composite risk band. MI = multiple imputation.</w:t>
      </w:r>
    </w:p>
    <w:p>
      <w:pPr>
        <w:spacing w:after="120" w:line="276"/>
      </w:pPr>
      <w:r>
        <w:rPr>
          <w:rFonts w:ascii="Times New Roman" w:cs="Times New Roman" w:eastAsia="Times New Roman" w:hAnsi="Times New Roman"/>
          <w:b/>
          <w:bCs/>
          <w:sz w:val="24"/>
          <w:szCs w:val="24"/>
        </w:rPr>
        <w:t xml:space="preserve">Supplementary Table S4. </w:t>
      </w:r>
      <w:r>
        <w:rPr>
          <w:rFonts w:ascii="Times New Roman" w:cs="Times New Roman" w:eastAsia="Times New Roman" w:hAnsi="Times New Roman"/>
          <w:sz w:val="24"/>
          <w:szCs w:val="24"/>
        </w:rPr>
        <w:t xml:space="preserve">CT imaging timing relative to index surgery (PTC cohort).</w:t>
      </w:r>
    </w:p>
    <w:p>
      <w:pPr>
        <w:spacing w:after="120" w:line="276"/>
      </w:pPr>
      <w:r>
        <w:rPr>
          <w:rFonts w:ascii="Times New Roman" w:cs="Times New Roman" w:eastAsia="Times New Roman" w:hAnsi="Times New Roman"/>
          <w:i/>
          <w:iCs/>
          <w:sz w:val="24"/>
          <w:szCs w:val="24"/>
        </w:rPr>
        <w:t xml:space="preserve">Among 331 PTC patients with ≥1 pathologic-lymphadenopathy-flagged CT examination (1,245 total flagged events). Mutually exclusive timing categories: preoperative (508 events, 40.8%), perioperative ≤30 days post-surgery (73, 5.9%), postoperative 31–365 days (174, 14.0%), and postoperative &gt;365 days (490, 39.4%). The 650 PTC patients with any CT examination and the 331 with ≥1 flagged examination are nested subsets of the 3,278 analytic cohort. Bias direction inferred, not directly demonstrated.</w:t>
      </w:r>
    </w:p>
    <w:p>
      <w:pPr>
        <w:spacing w:after="120" w:line="276"/>
      </w:pPr>
      <w:r>
        <w:rPr>
          <w:rFonts w:ascii="Times New Roman" w:cs="Times New Roman" w:eastAsia="Times New Roman" w:hAnsi="Times New Roman"/>
          <w:b/>
          <w:bCs/>
          <w:sz w:val="24"/>
          <w:szCs w:val="24"/>
        </w:rPr>
        <w:t xml:space="preserve">Supplementary Table S5. </w:t>
      </w:r>
      <w:r>
        <w:rPr>
          <w:rFonts w:ascii="Times New Roman" w:cs="Times New Roman" w:eastAsia="Times New Roman" w:hAnsi="Times New Roman"/>
          <w:sz w:val="24"/>
          <w:szCs w:val="24"/>
        </w:rPr>
        <w:t xml:space="preserve">Tumor-size-stratified mETE ORs on structural disease.</w:t>
      </w:r>
    </w:p>
    <w:p>
      <w:pPr>
        <w:spacing w:after="120" w:line="276"/>
      </w:pPr>
      <w:r>
        <w:rPr>
          <w:rFonts w:ascii="Times New Roman" w:cs="Times New Roman" w:eastAsia="Times New Roman" w:hAnsi="Times New Roman"/>
          <w:i/>
          <w:iCs/>
          <w:sz w:val="24"/>
          <w:szCs w:val="24"/>
        </w:rPr>
        <w:t xml:space="preserve">Formal mETE × size interaction: OR 1.04, p = 0.412.</w:t>
      </w:r>
    </w:p>
    <w:p>
      <w:pPr>
        <w:spacing w:after="120" w:line="276"/>
      </w:pPr>
      <w:r>
        <w:rPr>
          <w:rFonts w:ascii="Times New Roman" w:cs="Times New Roman" w:eastAsia="Times New Roman" w:hAnsi="Times New Roman"/>
          <w:b/>
          <w:bCs/>
          <w:sz w:val="24"/>
          <w:szCs w:val="24"/>
        </w:rPr>
        <w:t xml:space="preserve">Supplementary Table S6. </w:t>
      </w:r>
      <w:r>
        <w:rPr>
          <w:rFonts w:ascii="Times New Roman" w:cs="Times New Roman" w:eastAsia="Times New Roman" w:hAnsi="Times New Roman"/>
          <w:sz w:val="24"/>
          <w:szCs w:val="24"/>
        </w:rPr>
        <w:t xml:space="preserve">PSM covariate balance (711 pairs).</w:t>
      </w:r>
    </w:p>
    <w:p>
      <w:pPr>
        <w:spacing w:after="120" w:line="276"/>
      </w:pPr>
      <w:r>
        <w:rPr>
          <w:rFonts w:ascii="Times New Roman" w:cs="Times New Roman" w:eastAsia="Times New Roman" w:hAnsi="Times New Roman"/>
          <w:i/>
          <w:iCs/>
          <w:sz w:val="24"/>
          <w:szCs w:val="24"/>
        </w:rPr>
        <w:t xml:space="preserve">Matched mETE group was younger with lower nodal burden; residual imbalance expected to attenuate the observed association.</w:t>
      </w:r>
    </w:p>
    <w:p>
      <w:pPr>
        <w:spacing w:after="120" w:line="276"/>
      </w:pPr>
      <w:r>
        <w:rPr>
          <w:rFonts w:ascii="Times New Roman" w:cs="Times New Roman" w:eastAsia="Times New Roman" w:hAnsi="Times New Roman"/>
          <w:b/>
          <w:bCs/>
          <w:sz w:val="24"/>
          <w:szCs w:val="24"/>
        </w:rPr>
        <w:t xml:space="preserve">Supplementary Table S7 (eAppendix Table A1). </w:t>
      </w:r>
      <w:r>
        <w:rPr>
          <w:rFonts w:ascii="Times New Roman" w:cs="Times New Roman" w:eastAsia="Times New Roman" w:hAnsi="Times New Roman"/>
          <w:sz w:val="24"/>
          <w:szCs w:val="24"/>
        </w:rPr>
        <w:t xml:space="preserve">Stratum-specific mETE association with structural disease by nodal status.</w:t>
      </w:r>
    </w:p>
    <w:p>
      <w:pPr>
        <w:spacing w:after="120" w:line="276"/>
      </w:pPr>
      <w:r>
        <w:rPr>
          <w:rFonts w:ascii="Times New Roman" w:cs="Times New Roman" w:eastAsia="Times New Roman" w:hAnsi="Times New Roman"/>
          <w:i/>
          <w:iCs/>
          <w:sz w:val="24"/>
          <w:szCs w:val="24"/>
        </w:rPr>
        <w:t xml:space="preserve">Adjusted for age, tumor size, and sex within each stratum. The interaction OR 0.36 indicates the mETE–structural disease association is approximately 2.8× stronger in node-negative vs. node-positive patients.</w:t>
      </w:r>
    </w:p>
    <w:p>
      <w:pPr>
        <w:spacing w:after="120" w:line="276"/>
      </w:pPr>
      <w:r>
        <w:rPr>
          <w:rFonts w:ascii="Times New Roman" w:cs="Times New Roman" w:eastAsia="Times New Roman" w:hAnsi="Times New Roman"/>
          <w:b/>
          <w:bCs/>
          <w:sz w:val="24"/>
          <w:szCs w:val="24"/>
        </w:rPr>
        <w:t xml:space="preserve">Supplementary Table S8. </w:t>
      </w:r>
      <w:r>
        <w:rPr>
          <w:rFonts w:ascii="Times New Roman" w:cs="Times New Roman" w:eastAsia="Times New Roman" w:hAnsi="Times New Roman"/>
          <w:sz w:val="24"/>
          <w:szCs w:val="24"/>
        </w:rPr>
        <w:t xml:space="preserve">M-stage sensitivity analysis.</w:t>
      </w:r>
    </w:p>
    <w:p>
      <w:pPr>
        <w:spacing w:after="120" w:line="276"/>
      </w:pPr>
      <w:r>
        <w:rPr>
          <w:rFonts w:ascii="Times New Roman" w:cs="Times New Roman" w:eastAsia="Times New Roman" w:hAnsi="Times New Roman"/>
          <w:i/>
          <w:iCs/>
          <w:sz w:val="24"/>
          <w:szCs w:val="24"/>
        </w:rPr>
        <w:t xml:space="preserve">Ordinal logistic regression on composite risk band. Direction and significance of mETE estimate unchanged, confirming M-stage default coding did not materially affect the primary result.</w:t>
      </w:r>
    </w:p>
    <w:p>
      <w:r>
        <w:br w:type="page"/>
      </w:r>
    </w:p>
    <w:p>
      <w:pPr>
        <w:pStyle w:val="Heading1"/>
        <w:spacing w:after="200" w:before="360"/>
      </w:pPr>
      <w:r>
        <w:rPr>
          <w:rFonts w:ascii="Times New Roman" w:cs="Times New Roman" w:eastAsia="Times New Roman" w:hAnsi="Times New Roman"/>
          <w:b/>
          <w:bCs/>
          <w:sz w:val="28"/>
          <w:szCs w:val="28"/>
        </w:rPr>
        <w:t xml:space="preserve">SUPPLEMENTARY FIGURE LEGENDS</w:t>
      </w:r>
    </w:p>
    <w:p>
      <w:pPr>
        <w:spacing w:after="120" w:line="276"/>
      </w:pPr>
      <w:r>
        <w:rPr>
          <w:rFonts w:ascii="Times New Roman" w:cs="Times New Roman" w:eastAsia="Times New Roman" w:hAnsi="Times New Roman"/>
          <w:b/>
          <w:bCs/>
          <w:sz w:val="24"/>
          <w:szCs w:val="24"/>
        </w:rPr>
        <w:t xml:space="preserve">Supplementary Figure S1. </w:t>
      </w:r>
      <w:r>
        <w:rPr>
          <w:rFonts w:ascii="Times New Roman" w:cs="Times New Roman" w:eastAsia="Times New Roman" w:hAnsi="Times New Roman"/>
          <w:sz w:val="24"/>
          <w:szCs w:val="24"/>
        </w:rPr>
        <w:t xml:space="preserve">Distribution of ETE categories (N = 3,278). mETE was most common (1,736, 53.0%), followed by gross ETE (818, 25.0%) and no ETE (724, 22.1%).</w:t>
      </w:r>
    </w:p>
    <w:p>
      <w:pPr>
        <w:spacing w:after="120" w:line="276"/>
      </w:pPr>
      <w:r>
        <w:rPr>
          <w:rFonts w:ascii="Times New Roman" w:cs="Times New Roman" w:eastAsia="Times New Roman" w:hAnsi="Times New Roman"/>
          <w:b/>
          <w:bCs/>
          <w:sz w:val="24"/>
          <w:szCs w:val="24"/>
        </w:rPr>
        <w:t xml:space="preserve">Supplementary Figure S2. </w:t>
      </w:r>
      <w:r>
        <w:rPr>
          <w:rFonts w:ascii="Times New Roman" w:cs="Times New Roman" w:eastAsia="Times New Roman" w:hAnsi="Times New Roman"/>
          <w:sz w:val="24"/>
          <w:szCs w:val="24"/>
        </w:rPr>
        <w:t xml:space="preserve">Composite recurrence-risk band by ETE category. Gross ETE is shown descriptively but is analytically uninterpretable because it is embedded in the high-risk definition.</w:t>
      </w:r>
    </w:p>
    <w:p>
      <w:pPr>
        <w:spacing w:after="120" w:line="276"/>
      </w:pPr>
      <w:r>
        <w:rPr>
          <w:rFonts w:ascii="Times New Roman" w:cs="Times New Roman" w:eastAsia="Times New Roman" w:hAnsi="Times New Roman"/>
          <w:b/>
          <w:bCs/>
          <w:sz w:val="24"/>
          <w:szCs w:val="24"/>
        </w:rPr>
        <w:t xml:space="preserve">Supplementary Figure S3. </w:t>
      </w:r>
      <w:r>
        <w:rPr>
          <w:rFonts w:ascii="Times New Roman" w:cs="Times New Roman" w:eastAsia="Times New Roman" w:hAnsi="Times New Roman"/>
          <w:sz w:val="24"/>
          <w:szCs w:val="24"/>
        </w:rPr>
        <w:t xml:space="preserve">ROC discrimination of base vs. full ordinal models. Base model five-fold CV-AUC = 0.851 ± 0.020; full model five-fold CV-AUC = 0.876 ± 0.010; ΔAUC = 0.025. Descriptive only because gross ETE is embedded in the outcome.</w:t>
      </w:r>
    </w:p>
    <w:p>
      <w:pPr>
        <w:spacing w:after="120" w:line="276"/>
      </w:pPr>
      <w:r>
        <w:rPr>
          <w:rFonts w:ascii="Times New Roman" w:cs="Times New Roman" w:eastAsia="Times New Roman" w:hAnsi="Times New Roman"/>
          <w:b/>
          <w:bCs/>
          <w:sz w:val="24"/>
          <w:szCs w:val="24"/>
        </w:rPr>
        <w:t xml:space="preserve">Supplementary Figure S4. </w:t>
      </w:r>
      <w:r>
        <w:rPr>
          <w:rFonts w:ascii="Times New Roman" w:cs="Times New Roman" w:eastAsia="Times New Roman" w:hAnsi="Times New Roman"/>
          <w:sz w:val="24"/>
          <w:szCs w:val="24"/>
        </w:rPr>
        <w:t xml:space="preserve">Thyroglobulin distribution by ETE group. Descriptive; interpret in the context of heterogeneous Tg follow-up availability.</w:t>
      </w:r>
    </w:p>
    <w:p>
      <w:pPr>
        <w:spacing w:after="120" w:line="276"/>
      </w:pPr>
      <w:r>
        <w:rPr>
          <w:rFonts w:ascii="Times New Roman" w:cs="Times New Roman" w:eastAsia="Times New Roman" w:hAnsi="Times New Roman"/>
          <w:b/>
          <w:bCs/>
          <w:sz w:val="24"/>
          <w:szCs w:val="24"/>
        </w:rPr>
        <w:t xml:space="preserve">Supplementary Figure S5. </w:t>
      </w:r>
      <w:r>
        <w:rPr>
          <w:rFonts w:ascii="Times New Roman" w:cs="Times New Roman" w:eastAsia="Times New Roman" w:hAnsi="Times New Roman"/>
          <w:sz w:val="24"/>
          <w:szCs w:val="24"/>
        </w:rPr>
        <w:t xml:space="preserve">Full-cohort DFS by ETE group (illustrative only). The primary proxy endpoint is a derived risk band, not a directly observed time-to-event outcome.</w:t>
      </w:r>
    </w:p>
    <w:p>
      <w:pPr>
        <w:spacing w:after="120" w:line="276"/>
      </w:pPr>
      <w:r>
        <w:rPr>
          <w:rFonts w:ascii="Times New Roman" w:cs="Times New Roman" w:eastAsia="Times New Roman" w:hAnsi="Times New Roman"/>
          <w:b/>
          <w:bCs/>
          <w:sz w:val="24"/>
          <w:szCs w:val="24"/>
        </w:rPr>
        <w:t xml:space="preserve">Supplementary Figure S6. </w:t>
      </w:r>
      <w:r>
        <w:rPr>
          <w:rFonts w:ascii="Times New Roman" w:cs="Times New Roman" w:eastAsia="Times New Roman" w:hAnsi="Times New Roman"/>
          <w:sz w:val="24"/>
          <w:szCs w:val="24"/>
        </w:rPr>
        <w:t xml:space="preserve">mETE OR across alternative cohort definitions. Point estimates ranged 0.44–0.60, indicating consistent direction of association: full PTC cohort OR 0.60, classic-variant subgroup OR 0.52, original classic-variant cohort OR 0.50.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2026-03-26T19:49:43.886Z</dcterms:created>
  <dcterms:modified xsi:type="dcterms:W3CDTF">2026-03-26T19:49:43.887Z</dcterms:modified>
</cp:coreProperties>
</file>

<file path=docProps/custom.xml><?xml version="1.0" encoding="utf-8"?>
<Properties xmlns="http://schemas.openxmlformats.org/officeDocument/2006/custom-properties" xmlns:vt="http://schemas.openxmlformats.org/officeDocument/2006/docPropsVTypes"/>
</file>