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i w:val="0"/>
          <w:color w:val="1F4E78"/>
          <w:sz w:val="40"/>
        </w:rPr>
        <w:t>Supplemental eMethods</w:t>
      </w:r>
    </w:p>
    <w:p>
      <w:pPr>
        <w:spacing w:after="80"/>
      </w:pPr>
      <w:r>
        <w:rPr>
          <w:rFonts w:ascii="Arial" w:hAnsi="Arial"/>
          <w:b/>
          <w:i w:val="0"/>
          <w:sz w:val="24"/>
        </w:rPr>
        <w:t>Massive Goiter at a Tertiary Referral Center: A Composite-Definition Descriptive Cohort of 2,501 Patients</w:t>
      </w:r>
    </w:p>
    <w:p>
      <w:pPr>
        <w:spacing w:after="280"/>
      </w:pPr>
      <w:r>
        <w:rPr>
          <w:rFonts w:ascii="Arial" w:hAnsi="Arial"/>
          <w:b w:val="0"/>
          <w:i/>
          <w:color w:val="555555"/>
          <w:sz w:val="20"/>
        </w:rPr>
        <w:t>Manuscript ID: M038  •  Document date: 2026-05-04  •  Database release: pub_v1_0_20260430</w:t>
      </w:r>
    </w:p>
    <w:p>
      <w:pPr>
        <w:spacing w:before="360" w:after="160"/>
      </w:pPr>
      <w:r>
        <w:rPr>
          <w:rFonts w:ascii="Arial" w:hAnsi="Arial"/>
          <w:b/>
          <w:i w:val="0"/>
          <w:color w:val="1F4E78"/>
          <w:sz w:val="32"/>
        </w:rPr>
        <w:t>1. Study Design and Data Source</w:t>
      </w:r>
    </w:p>
    <w:p>
      <w:pPr>
        <w:spacing w:after="120"/>
      </w:pPr>
      <w:r>
        <w:rPr>
          <w:rFonts w:ascii="Arial" w:hAnsi="Arial"/>
          <w:b w:val="0"/>
          <w:i w:val="0"/>
          <w:sz w:val="22"/>
        </w:rPr>
        <w:t>This was a single-institution, retrospective cohort study of all adult patients undergoing thyroid surgery at Emory University Hospital and affiliated facilities between January 1, 1999 and December 31, 2025. Source data were drawn from the THYROID_2026 canonical lakehouse (MotherDuck database thyroid_canonical_publication_v1_0, release pub_v1_0_20260430, most-recent applied migration mig_255_cohort_m038_complication_temporality_columns_20260502). The lakehouse integrates structured EHR extracts, NSQIP institutional submission records, synoptic pathology reports, operative notes (with domain-specific NLP enrichment), and imaging-report NLP extractions.</w:t>
      </w:r>
    </w:p>
    <w:p>
      <w:pPr>
        <w:spacing w:after="120"/>
      </w:pPr>
      <w:r>
        <w:rPr>
          <w:rFonts w:ascii="Arial" w:hAnsi="Arial"/>
          <w:b w:val="0"/>
          <w:i w:val="0"/>
          <w:sz w:val="22"/>
        </w:rPr>
        <w:t>All analytic queries are reproducible against the post-mig_255 cohort view manuscript_workspace.cohort_m038_massive_goiter_v1, which materializes the per-patient analytic record. The reproducible SQL package accompanies this submission as 08_analysis_code/M038_descriptive_analysis.sql; the per-patient parquet extract used for the four submission-package deliverables was pulled on the date above using the script 01_pull_parquet.py.</w:t>
      </w:r>
    </w:p>
    <w:p>
      <w:pPr>
        <w:spacing w:before="360" w:after="160"/>
      </w:pPr>
      <w:r>
        <w:rPr>
          <w:rFonts w:ascii="Arial" w:hAnsi="Arial"/>
          <w:b/>
          <w:i w:val="0"/>
          <w:color w:val="1F4E78"/>
          <w:sz w:val="32"/>
        </w:rPr>
        <w:t>2. Cohort Definition</w:t>
      </w:r>
    </w:p>
    <w:p>
      <w:pPr>
        <w:spacing w:after="120"/>
      </w:pPr>
      <w:r>
        <w:rPr>
          <w:rFonts w:ascii="Arial" w:hAnsi="Arial"/>
          <w:b w:val="0"/>
          <w:i w:val="0"/>
          <w:sz w:val="22"/>
        </w:rPr>
        <w:t>The analytic cohort comprises all patients with at least one thyroid surgery in the canonical patient master and at least one resolved histologic record. The total cohort is n = 10,871. Patients were stratified into a binary exposure based on a composite-massive flag (see §3).</w:t>
      </w:r>
    </w:p>
    <w:p>
      <w:pPr>
        <w:spacing w:after="120"/>
      </w:pPr>
      <w:r>
        <w:rPr>
          <w:rFonts w:ascii="Arial" w:hAnsi="Arial"/>
          <w:b w:val="0"/>
          <w:i w:val="0"/>
          <w:sz w:val="22"/>
        </w:rPr>
        <w:t>There were no exclusions for age, prior thyroid surgery, indication, or follow-up duration; the goal of this descriptive cohort was to characterize the population presenting for thyroid surgery, including those with antecedent thyroid history, in order to estimate true clinical prevalence of the massive-goiter phenotype.</w:t>
      </w:r>
    </w:p>
    <w:p>
      <w:pPr>
        <w:spacing w:before="360" w:after="160"/>
      </w:pPr>
      <w:r>
        <w:rPr>
          <w:rFonts w:ascii="Arial" w:hAnsi="Arial"/>
          <w:b/>
          <w:i w:val="0"/>
          <w:color w:val="1F4E78"/>
          <w:sz w:val="32"/>
        </w:rPr>
        <w:t>3. Exposure Definition (Composite Massive Flag)</w:t>
      </w:r>
    </w:p>
    <w:p>
      <w:pPr>
        <w:spacing w:after="120"/>
      </w:pPr>
      <w:r>
        <w:rPr>
          <w:rFonts w:ascii="Arial" w:hAnsi="Arial"/>
          <w:b w:val="0"/>
          <w:i w:val="0"/>
          <w:sz w:val="22"/>
        </w:rPr>
        <w:t>The composite-massive flag (is_massive) is defined by the disjunction of three component groups, each derived from a distinct data source:</w:t>
      </w:r>
    </w:p>
    <w:p>
      <w:pPr>
        <w:pStyle w:val="ListBullet"/>
        <w:spacing w:after="60"/>
      </w:pPr>
      <w:r/>
      <w:r>
        <w:rPr>
          <w:rFonts w:ascii="Arial" w:hAnsi="Arial"/>
          <w:b w:val="0"/>
          <w:i w:val="0"/>
          <w:sz w:val="22"/>
        </w:rPr>
        <w:t>Weight component (W): synoptic pathology gland weight ≥100 g (gland_weight_final_g &gt;= 100).</w:t>
      </w:r>
    </w:p>
    <w:p>
      <w:pPr>
        <w:pStyle w:val="ListBullet"/>
        <w:spacing w:after="60"/>
      </w:pPr>
      <w:r/>
      <w:r>
        <w:rPr>
          <w:rFonts w:ascii="Arial" w:hAnsi="Arial"/>
          <w:b w:val="0"/>
          <w:i w:val="0"/>
          <w:sz w:val="22"/>
        </w:rPr>
        <w:t>Substernal component (S): substernal extension documented on cross-sectional imaging — ct_substernal_extension_any OR mri_substernal_any.</w:t>
      </w:r>
    </w:p>
    <w:p>
      <w:pPr>
        <w:pStyle w:val="ListBullet"/>
        <w:spacing w:after="60"/>
      </w:pPr>
      <w:r/>
      <w:r>
        <w:rPr>
          <w:rFonts w:ascii="Arial" w:hAnsi="Arial"/>
          <w:b w:val="0"/>
          <w:i w:val="0"/>
          <w:sz w:val="22"/>
        </w:rPr>
        <w:t>Airway component (A): airway compromise documented on CT — ct_tracheal_deviation_any OR ct_tracheal_narrowing_any OR ct_airway_compromise_any.</w:t>
      </w:r>
    </w:p>
    <w:p>
      <w:pPr>
        <w:spacing w:after="120"/>
      </w:pPr>
      <w:r>
        <w:rPr>
          <w:rFonts w:ascii="Arial" w:hAnsi="Arial"/>
          <w:b w:val="0"/>
          <w:i w:val="0"/>
          <w:sz w:val="22"/>
        </w:rPr>
        <w:t>A patient is classified as composite-massive (is_massive = TRUE) if any of W, S, or A is TRUE; that is, is_massive = (W ∨ S ∨ A). The disjunction was chosen because each component captures a distinct clinical axis of the massive-goiter phenotype (mass burden, mediastinal extension, and tracheal compromise) and because patients can present with any one as the dominant feature. Component overlap is reported in Tables 1 and 5 and Figure 1.</w:t>
      </w:r>
    </w:p>
    <w:p>
      <w:pPr>
        <w:spacing w:before="360" w:after="160"/>
      </w:pPr>
      <w:r>
        <w:rPr>
          <w:rFonts w:ascii="Arial" w:hAnsi="Arial"/>
          <w:b/>
          <w:i w:val="0"/>
          <w:color w:val="1F4E78"/>
          <w:sz w:val="32"/>
        </w:rPr>
        <w:t>4. Variables</w:t>
      </w:r>
    </w:p>
    <w:p>
      <w:pPr>
        <w:spacing w:before="280" w:after="120"/>
      </w:pPr>
      <w:r>
        <w:rPr>
          <w:rFonts w:ascii="Arial" w:hAnsi="Arial"/>
          <w:b/>
          <w:i w:val="0"/>
          <w:color w:val="1F4E78"/>
          <w:sz w:val="26"/>
        </w:rPr>
        <w:t>4.1 Demographics &amp; comorbidities</w:t>
      </w:r>
    </w:p>
    <w:p>
      <w:pPr>
        <w:spacing w:after="120"/>
      </w:pPr>
      <w:r>
        <w:rPr>
          <w:rFonts w:ascii="Arial" w:hAnsi="Arial"/>
          <w:b w:val="0"/>
          <w:i w:val="0"/>
          <w:sz w:val="22"/>
        </w:rPr>
        <w:t>Age at first surgery, sex, race (9-bucket), and combined BMI (NSQIP-first with vitals/derived fallback; source documented in bmi_source) were extracted from the canonical patient master. Comorbidity flags were extracted via two independent sources: NSQIP linkage (nsqip_diabetes, nsqip_hypertension, nsqip_copd, nsqip_heart_failure, nsqip_bleeding_disorder, nsqip_disseminated_cancer, nsqip_functional_status) and a narrative-NLP layer over past medical history sections (pmhx_nlp_diabetes, pmhx_nlp_hypertension, pmhx_nlp_cad, pmhx_nlp_ckd, pmhx_nlp_copd, pmhx_nlp_n_comorbidities, pmhx_nlp_autoimmune_thyroid_hx). ASA physical status class (nsqip_asa_class) is reported on the NSQIP-linked subset only.</w:t>
      </w:r>
    </w:p>
    <w:p>
      <w:pPr>
        <w:spacing w:before="280" w:after="120"/>
      </w:pPr>
      <w:r>
        <w:rPr>
          <w:rFonts w:ascii="Arial" w:hAnsi="Arial"/>
          <w:b/>
          <w:i w:val="0"/>
          <w:color w:val="1F4E78"/>
          <w:sz w:val="26"/>
        </w:rPr>
        <w:t>4.2 Surgical context</w:t>
      </w:r>
    </w:p>
    <w:p>
      <w:pPr>
        <w:spacing w:after="120"/>
      </w:pPr>
      <w:r>
        <w:rPr>
          <w:rFonts w:ascii="Arial" w:hAnsi="Arial"/>
          <w:b w:val="0"/>
          <w:i w:val="0"/>
          <w:sz w:val="22"/>
        </w:rPr>
        <w:t>First-surgery date (surg_first_date) was backfilled in mig_254 to maximize era-attribution coverage. Procedure-type completeness was finalized in mig_253 and reaches 100% in the massive arm and 99.98% in the non-massive arm. Operative duration (nsqip_operative_duration_min), length of stay (nsqip_length_of_stay_days), drain usage, vessel sealant, RLN monitoring, and central/lateral neck dissection were sourced from NSQIP records. Operative-note NLP supplied the difficult-airway flag (ops_difficult_airway). Tracheostomy was extracted from procedure-NLP (proc_nlp_tracheostomy).</w:t>
      </w:r>
    </w:p>
    <w:p>
      <w:pPr>
        <w:spacing w:before="280" w:after="120"/>
      </w:pPr>
      <w:r>
        <w:rPr>
          <w:rFonts w:ascii="Arial" w:hAnsi="Arial"/>
          <w:b/>
          <w:i w:val="0"/>
          <w:color w:val="1F4E78"/>
          <w:sz w:val="26"/>
        </w:rPr>
        <w:t>4.3 Pathology</w:t>
      </w:r>
    </w:p>
    <w:p>
      <w:pPr>
        <w:spacing w:after="120"/>
      </w:pPr>
      <w:r>
        <w:rPr>
          <w:rFonts w:ascii="Arial" w:hAnsi="Arial"/>
          <w:b w:val="0"/>
          <w:i w:val="0"/>
          <w:sz w:val="22"/>
        </w:rPr>
        <w:t>Resolved histologic diagnosis (histology_final), malignancy flag (is_malignant), bilateral disease (bilateral_path_flag from pathology, bilateral_disease_flag combining clinical + imaging), and closest margin (closest_margin_mm) were drawn from synoptic pathology with manual reconciliation of conflicting reports.</w:t>
      </w:r>
    </w:p>
    <w:p>
      <w:pPr>
        <w:spacing w:before="280" w:after="120"/>
      </w:pPr>
      <w:r>
        <w:rPr>
          <w:rFonts w:ascii="Arial" w:hAnsi="Arial"/>
          <w:b/>
          <w:i w:val="0"/>
          <w:color w:val="1F4E78"/>
          <w:sz w:val="26"/>
        </w:rPr>
        <w:t>4.4 Complication outcomes (strict-definition)</w:t>
      </w:r>
    </w:p>
    <w:p>
      <w:pPr>
        <w:spacing w:after="120"/>
      </w:pPr>
      <w:r>
        <w:rPr>
          <w:rFonts w:ascii="Arial" w:hAnsi="Arial"/>
          <w:b w:val="0"/>
          <w:i w:val="0"/>
          <w:sz w:val="22"/>
        </w:rPr>
        <w:t>Complication outcomes use the strict-definition canonical rollup (post-mig_252) that requires both a definite/probable status assertion AND temporal evidence the event occurred postoperatively. The columns are any_confirmed_complication_flag (composite), comp_hematoma_confirmed, comp_seroma_confirmed, comp_chyle_leak_confirmed, comp_rln_injury_confirmed, comp_vc_paresis_confirmed, comp_vc_paralysis_confirmed, comp_hypocalcemia_confirmed, comp_hypoparathyroidism_confirmed, comp_airway_complication_definitive, comp_pneumothorax_definitive, and comp_mortality_definitive.</w:t>
      </w:r>
    </w:p>
    <w:p>
      <w:pPr>
        <w:spacing w:after="120"/>
      </w:pPr>
      <w:r>
        <w:rPr>
          <w:rFonts w:ascii="Arial" w:hAnsi="Arial"/>
          <w:b w:val="0"/>
          <w:i w:val="0"/>
          <w:sz w:val="22"/>
        </w:rPr>
        <w:t>Per the standing rule (memory/feedback_complications_transient_vs_permanent.md), hypoparathyroidism is split into transient (&lt;6 months postop), permanent (&gt;6 months postop), preexisting (preop), and new postop using the temporality columns added in mig_255: comp_hypoparathyroidism_transient, comp_hypoparathyroidism_permanent, comp_hypoparathyroidism_timing_window, comp_hypoparathyroidism_preexisting, and comp_hypoparathyroidism_new_postop. Hypocalcemia carries a preexisting flag derived from comp_hypocalcemia_timing_window = 'pre_surgery' OR comp_hypocalcemia_clinical_preexisting; the postop confirmed events are reported separately. The same transient/permanent decomposition is applied to RLN injury, vocal cord paresis, and vocal cord paralysis where the temporality columns are populated.</w:t>
      </w:r>
    </w:p>
    <w:p>
      <w:pPr>
        <w:spacing w:before="280" w:after="120"/>
      </w:pPr>
      <w:r>
        <w:rPr>
          <w:rFonts w:ascii="Arial" w:hAnsi="Arial"/>
          <w:b/>
          <w:i w:val="0"/>
          <w:color w:val="1F4E78"/>
          <w:sz w:val="26"/>
        </w:rPr>
        <w:t>4.5 NSQIP 30-day complications</w:t>
      </w:r>
    </w:p>
    <w:p>
      <w:pPr>
        <w:spacing w:after="120"/>
      </w:pPr>
      <w:r>
        <w:rPr>
          <w:rFonts w:ascii="Arial" w:hAnsi="Arial"/>
          <w:b w:val="0"/>
          <w:i w:val="0"/>
          <w:sz w:val="22"/>
        </w:rPr>
        <w:t>NSQIP-flagged 30-day complications (transfusion, neck hematoma, RLN injury flag, hypocalcemia flag, unplanned intubation, unplanned return to OR, 30-day readmission, 30-day mortality, pneumonia, DVT, PE, sepsis, superficial/deep/organ-space SSI) are reported on the NSQIP-linked subset only and are presented separately from the strict-definition canonical complications (Table 4).</w:t>
      </w:r>
    </w:p>
    <w:p>
      <w:pPr>
        <w:spacing w:before="280" w:after="120"/>
      </w:pPr>
      <w:r>
        <w:rPr>
          <w:rFonts w:ascii="Arial" w:hAnsi="Arial"/>
          <w:b/>
          <w:i w:val="0"/>
          <w:color w:val="1F4E78"/>
          <w:sz w:val="26"/>
        </w:rPr>
        <w:t>4.6 Era binning</w:t>
      </w:r>
    </w:p>
    <w:p>
      <w:pPr>
        <w:spacing w:after="120"/>
      </w:pPr>
      <w:r>
        <w:rPr>
          <w:rFonts w:ascii="Arial" w:hAnsi="Arial"/>
          <w:b w:val="0"/>
          <w:i w:val="0"/>
          <w:sz w:val="22"/>
        </w:rPr>
        <w:t>Surgery era was binned in two ways: a 5-year bucket scheme (1999-2004, 2005-2009, 2010-2014, 2015-2019, 2020-2025) for component-coverage analysis (Figure 4 and Supp S2), and the 3-bucket headline scheme used in the manuscript abstract (pre-2015, 2015-2019, 2020-2025). The upper-bound rule sweeps any surgery with surg_first_date earlier than 1999-01-01 into the 1999-2004 bucket. Patients with NULL surg_first_date are reported as 'unknown' and excluded from era-trend tests.</w:t>
      </w:r>
    </w:p>
    <w:p>
      <w:pPr>
        <w:spacing w:before="360" w:after="160"/>
      </w:pPr>
      <w:r>
        <w:rPr>
          <w:rFonts w:ascii="Arial" w:hAnsi="Arial"/>
          <w:b/>
          <w:i w:val="0"/>
          <w:color w:val="1F4E78"/>
          <w:sz w:val="32"/>
        </w:rPr>
        <w:t>5. Statistical Methods</w:t>
      </w:r>
    </w:p>
    <w:p>
      <w:pPr>
        <w:spacing w:after="120"/>
      </w:pPr>
      <w:r>
        <w:rPr>
          <w:rFonts w:ascii="Arial" w:hAnsi="Arial"/>
          <w:b w:val="0"/>
          <w:i w:val="0"/>
          <w:sz w:val="22"/>
        </w:rPr>
        <w:t>Continuous variables are summarized as median (IQR) with mean ± SD where indicated; categorical variables as n (%). Comparisons between massive and non-massive arms used Mann-Whitney U tests for continuous variables and chi-squared (without Yates continuity correction) for categorical variables. Fisher exact tests substituted for chi-squared whenever any expected cell count fell below 5, when chi-squared computation was undefined (zero-row or zero-column tables), or when low-event scenarios warranted exact inference. Two-sided p-values are reported throughout; p &lt; 0.05 was considered nominally statistically significant. No multiplicity correction was applied because of the descriptive intent of this study.</w:t>
      </w:r>
    </w:p>
    <w:p>
      <w:pPr>
        <w:spacing w:after="120"/>
      </w:pPr>
      <w:r>
        <w:rPr>
          <w:rFonts w:ascii="Arial" w:hAnsi="Arial"/>
          <w:b w:val="0"/>
          <w:i w:val="0"/>
          <w:sz w:val="22"/>
        </w:rPr>
        <w:t>Risk ratios (RR) for binary complication outcomes were computed as massive prevalence divided by non-massive prevalence, with 95% confidence intervals derived from the Wald approximation on the natural log of the RR using SE = √[(1−p₁)/a + (1−p₂)/b], where a and b are event counts and p₁/p₂ are arm-specific prevalences. For zero-cell or near-zero-cell scenarios a Haldane-Anscombe 0.5 continuity correction was applied to the contingency cells before the SE calculation. Wilson 95% CIs were used for arm-prevalence estimates in Table 5 to avoid pathology at low or high prevalences.</w:t>
      </w:r>
    </w:p>
    <w:p>
      <w:pPr>
        <w:spacing w:after="120"/>
      </w:pPr>
      <w:r>
        <w:rPr>
          <w:rFonts w:ascii="Arial" w:hAnsi="Arial"/>
          <w:b w:val="0"/>
          <w:i w:val="0"/>
          <w:sz w:val="22"/>
        </w:rPr>
        <w:t>Era-trend analysis used a chi-squared test of independence on the 3 × 2 contingency table of era × (massive / non-massive). Component-coverage trends across era are reported descriptively (Figure 4 / Supp S2) without a formal trend test because component documentation rates rather than disease prevalence are the primary signal.</w:t>
      </w:r>
    </w:p>
    <w:p>
      <w:pPr>
        <w:spacing w:before="360" w:after="160"/>
      </w:pPr>
      <w:r>
        <w:rPr>
          <w:rFonts w:ascii="Arial" w:hAnsi="Arial"/>
          <w:b/>
          <w:i w:val="0"/>
          <w:color w:val="1F4E78"/>
          <w:sz w:val="32"/>
        </w:rPr>
        <w:t>6. Complication Definitions and Standing Rule</w:t>
      </w:r>
    </w:p>
    <w:p>
      <w:pPr>
        <w:spacing w:after="120"/>
      </w:pPr>
      <w:r>
        <w:rPr>
          <w:rFonts w:ascii="Arial" w:hAnsi="Arial"/>
          <w:b w:val="0"/>
          <w:i w:val="0"/>
          <w:sz w:val="22"/>
        </w:rPr>
        <w:t>The strict-definition complication rollup (suffix _confirmed for soft-tissue/RLN/biochemical events; suffix _definitive for airway/pulmonary/mortality events) requires (a) a definite or probable status assertion in the source documentation and (b) temporal evidence that the event occurred postoperatively. Events confined to the preoperative window are reported in dedicated preexisting rows and are not counted in the postop confirmed numerator. NSQIP 30-day complication flags are a parallel signal reported separately because their case definitions, denominator (NSQIP-linked subset), and 30-day window differ from the canonical rollup.</w:t>
      </w:r>
    </w:p>
    <w:p>
      <w:pPr>
        <w:spacing w:after="120"/>
      </w:pPr>
      <w:r>
        <w:rPr>
          <w:rFonts w:ascii="Arial" w:hAnsi="Arial"/>
          <w:b w:val="0"/>
          <w:i w:val="0"/>
          <w:sz w:val="22"/>
        </w:rPr>
        <w:t>Hypoparathyroidism standing-rule details (per memory/feedback_complications_transient_vs_permanent.md, ratified 2026-05-01):</w:t>
      </w:r>
    </w:p>
    <w:p>
      <w:pPr>
        <w:pStyle w:val="ListBullet"/>
        <w:spacing w:after="60"/>
      </w:pPr>
      <w:r/>
      <w:r>
        <w:rPr>
          <w:rFonts w:ascii="Arial" w:hAnsi="Arial"/>
          <w:b w:val="0"/>
          <w:i w:val="0"/>
          <w:sz w:val="22"/>
        </w:rPr>
        <w:t>Postop transient hypoparathyroidism (&lt;6 months): comp_hypoparathyroidism_confirmed AND comp_hypoparathyroidism_transient.</w:t>
      </w:r>
    </w:p>
    <w:p>
      <w:pPr>
        <w:pStyle w:val="ListBullet"/>
        <w:spacing w:after="60"/>
      </w:pPr>
      <w:r/>
      <w:r>
        <w:rPr>
          <w:rFonts w:ascii="Arial" w:hAnsi="Arial"/>
          <w:b w:val="0"/>
          <w:i w:val="0"/>
          <w:sz w:val="22"/>
        </w:rPr>
        <w:t>Postop permanent hypoparathyroidism (&gt;6 months): comp_hypoparathyroidism_confirmed AND comp_hypoparathyroidism_permanent.</w:t>
      </w:r>
    </w:p>
    <w:p>
      <w:pPr>
        <w:pStyle w:val="ListBullet"/>
        <w:spacing w:after="60"/>
      </w:pPr>
      <w:r/>
      <w:r>
        <w:rPr>
          <w:rFonts w:ascii="Arial" w:hAnsi="Arial"/>
          <w:b w:val="0"/>
          <w:i w:val="0"/>
          <w:sz w:val="22"/>
        </w:rPr>
        <w:t>Preexisting hypoparathyroidism: comp_hypoparathyroidism_preexisting (preop diagnosis present in source documentation, irrespective of postop status).</w:t>
      </w:r>
    </w:p>
    <w:p>
      <w:pPr>
        <w:pStyle w:val="ListBullet"/>
        <w:spacing w:after="60"/>
      </w:pPr>
      <w:r/>
      <w:r>
        <w:rPr>
          <w:rFonts w:ascii="Arial" w:hAnsi="Arial"/>
          <w:b w:val="0"/>
          <w:i w:val="0"/>
          <w:sz w:val="22"/>
        </w:rPr>
        <w:t>New postop hypoparathyroidism: comp_hypoparathyroidism_new_postop (postop event with no preop evidence).</w:t>
      </w:r>
    </w:p>
    <w:p>
      <w:pPr>
        <w:spacing w:after="120"/>
      </w:pPr>
      <w:r>
        <w:rPr>
          <w:rFonts w:ascii="Arial" w:hAnsi="Arial"/>
          <w:b w:val="0"/>
          <w:i w:val="0"/>
          <w:sz w:val="22"/>
        </w:rPr>
        <w:t>Hypocalcemia is split into postop confirmed events (transient/permanent if temporality is documented) and a preexisting row defined by (comp_hypocalcemia_timing_window = 'pre_surgery' OR comp_hypocalcemia_clinical_preexisting), to mirror the hypoparathyroidism schema. The known carry-forward items CF-RLN-PREOP-FLAG and CF-VC-PARALYSIS-PREOP-FLAG (no preop status encoding for RLN injury or vocal cord paralysis) are documented in the validation report and remain open.</w:t>
      </w:r>
    </w:p>
    <w:p>
      <w:pPr>
        <w:spacing w:before="360" w:after="160"/>
      </w:pPr>
      <w:r>
        <w:rPr>
          <w:rFonts w:ascii="Arial" w:hAnsi="Arial"/>
          <w:b/>
          <w:i w:val="0"/>
          <w:color w:val="1F4E78"/>
          <w:sz w:val="32"/>
        </w:rPr>
        <w:t>7. Missing Data</w:t>
      </w:r>
    </w:p>
    <w:p>
      <w:pPr>
        <w:spacing w:after="120"/>
      </w:pPr>
      <w:r>
        <w:rPr>
          <w:rFonts w:ascii="Arial" w:hAnsi="Arial"/>
          <w:b w:val="0"/>
          <w:i w:val="0"/>
          <w:sz w:val="22"/>
        </w:rPr>
        <w:t>Missing data are reported in Supplementary Table S5. Salient coverage notes:</w:t>
      </w:r>
    </w:p>
    <w:p>
      <w:pPr>
        <w:pStyle w:val="ListBullet"/>
        <w:spacing w:after="60"/>
      </w:pPr>
      <w:r/>
      <w:r>
        <w:rPr>
          <w:rFonts w:ascii="Arial" w:hAnsi="Arial"/>
          <w:b w:val="0"/>
          <w:i w:val="0"/>
          <w:sz w:val="22"/>
        </w:rPr>
        <w:t>Surgery date (surg_first_date): cohort-wide 80.3% known (8,731 / 10,871); massive arm 69.6% known (1,740 / 2,501). Pre-1999 surgery dates are subject to the upper-bound binning rule.</w:t>
      </w:r>
    </w:p>
    <w:p>
      <w:pPr>
        <w:pStyle w:val="ListBullet"/>
        <w:spacing w:after="60"/>
      </w:pPr>
      <w:r/>
      <w:r>
        <w:rPr>
          <w:rFonts w:ascii="Arial" w:hAnsi="Arial"/>
          <w:b w:val="0"/>
          <w:i w:val="0"/>
          <w:sz w:val="22"/>
        </w:rPr>
        <w:t>BMI (bmi_combined): predominantly NSQIP-sourced; vitals/derived fallback documented in bmi_source.</w:t>
      </w:r>
    </w:p>
    <w:p>
      <w:pPr>
        <w:pStyle w:val="ListBullet"/>
        <w:spacing w:after="60"/>
      </w:pPr>
      <w:r/>
      <w:r>
        <w:rPr>
          <w:rFonts w:ascii="Arial" w:hAnsi="Arial"/>
          <w:b w:val="0"/>
          <w:i w:val="0"/>
          <w:sz w:val="22"/>
        </w:rPr>
        <w:t>NSQIP-linkage subset: variables with prefix nsqip_ are populated only for the linked subset (used as a denominator-defining proxy in Table 3 and Supp S3). Approximately 13% of the full cohort has NSQIP linkage; massive-arm linkage rate is comparable.</w:t>
      </w:r>
    </w:p>
    <w:p>
      <w:pPr>
        <w:pStyle w:val="ListBullet"/>
        <w:spacing w:after="60"/>
      </w:pPr>
      <w:r/>
      <w:r>
        <w:rPr>
          <w:rFonts w:ascii="Arial" w:hAnsi="Arial"/>
          <w:b w:val="0"/>
          <w:i w:val="0"/>
          <w:sz w:val="22"/>
        </w:rPr>
        <w:t>Histology (histology_final): missing values are flagged '(missing)' in Tables 2 and pub Table 2; no imputation was performed.</w:t>
      </w:r>
    </w:p>
    <w:p>
      <w:pPr>
        <w:spacing w:after="120"/>
      </w:pPr>
      <w:r>
        <w:rPr>
          <w:rFonts w:ascii="Arial" w:hAnsi="Arial"/>
          <w:b w:val="0"/>
          <w:i w:val="0"/>
          <w:sz w:val="22"/>
        </w:rPr>
        <w:t>All missing-data analyses use a complete-case approach within each variable. The descriptive intent of the study and the absence of a primary inferential endpoint preclude the need for multiple imputation.</w:t>
      </w:r>
    </w:p>
    <w:p>
      <w:pPr>
        <w:spacing w:before="360" w:after="160"/>
      </w:pPr>
      <w:r>
        <w:rPr>
          <w:rFonts w:ascii="Arial" w:hAnsi="Arial"/>
          <w:b/>
          <w:i w:val="0"/>
          <w:color w:val="1F4E78"/>
          <w:sz w:val="32"/>
        </w:rPr>
        <w:t>8. Software &amp; Reproducibility</w:t>
      </w:r>
    </w:p>
    <w:p>
      <w:pPr>
        <w:spacing w:after="120"/>
      </w:pPr>
      <w:r>
        <w:rPr>
          <w:rFonts w:ascii="Arial" w:hAnsi="Arial"/>
          <w:b w:val="0"/>
          <w:i w:val="0"/>
          <w:sz w:val="22"/>
        </w:rPr>
        <w:t>All analyses were performed in Python 3.9 with the following packages: pandas 2.3, numpy, scipy (stats.chi2_contingency, stats.fisher_exact, stats.mannwhitneyu, stats.ttest_ind), openpyxl (Excel deliverables), python-docx (Word eMethods). Data extraction from MotherDuck used the duckdb Python client (1.4) authenticated to the logan.glosser.eras account that owns the canonical publication share. The full extraction-to-deliverable pipeline is reproducible from the scripts in data_extraction_v2_20260504/ via:</w:t>
      </w:r>
    </w:p>
    <w:p>
      <w:pPr>
        <w:spacing w:after="160"/>
      </w:pPr>
      <w:r>
        <w:rPr>
          <w:rFonts w:ascii="Courier New" w:hAnsi="Courier New"/>
          <w:b w:val="0"/>
          <w:i w:val="0"/>
          <w:sz w:val="20"/>
        </w:rPr>
        <w:t xml:space="preserve">  python3 01_pull_parquet.py</w:t>
        <w:br/>
        <w:t xml:space="preserve">  python3 02_build_d1_patient_dataset.py</w:t>
        <w:br/>
        <w:t xml:space="preserve">  python3 03_build_d2_analysis_workbook.py</w:t>
        <w:br/>
        <w:t xml:space="preserve">  python3 04_build_d3_tables_figures.py</w:t>
        <w:br/>
        <w:t xml:space="preserve">  python3 05_build_d4_emethods.py</w:t>
      </w:r>
    </w:p>
    <w:p>
      <w:pPr>
        <w:spacing w:after="120"/>
      </w:pPr>
      <w:r>
        <w:rPr>
          <w:rFonts w:ascii="Arial" w:hAnsi="Arial"/>
          <w:b w:val="0"/>
          <w:i w:val="0"/>
          <w:sz w:val="22"/>
        </w:rPr>
        <w:t>All numeric cells reproduce against the live MotherDuck cohort view at extract time. The independent validation report (09_validation_report.md) audited 156 manuscript cells against MotherDuck on 2026-05-01 with 153 PASS / 3 patched / 0 FAIL; the present deliverables re-derive those cells from the post-mig_255 cohort view as of the document date above. Any cell-level differences from the 2026-05-01 validation report are traceable to mig_254 (surg_first_date backfill) and mig_255 (complication temporality columns), which slightly shifted era attribution and complication classification.</w:t>
      </w:r>
    </w:p>
    <w:p>
      <w:pPr>
        <w:spacing w:before="280" w:after="120"/>
      </w:pPr>
      <w:r>
        <w:rPr>
          <w:rFonts w:ascii="Arial" w:hAnsi="Arial"/>
          <w:b/>
          <w:i w:val="0"/>
          <w:color w:val="1F4E78"/>
          <w:sz w:val="26"/>
        </w:rPr>
        <w:t>Appendix A — Deliverable Index</w:t>
      </w:r>
    </w:p>
    <w:tbl>
      <w:tblPr>
        <w:tblStyle w:val="LightGrid-Accent1"/>
        <w:tblW w:type="auto" w:w="0"/>
        <w:tblLayout w:type="fixed"/>
        <w:tblLook w:firstColumn="1" w:firstRow="1" w:lastColumn="0" w:lastRow="0" w:noHBand="0" w:noVBand="1" w:val="04A0"/>
      </w:tblPr>
      <w:tblGrid>
        <w:gridCol w:w="4680"/>
        <w:gridCol w:w="4680"/>
      </w:tblGrid>
      <w:tr>
        <w:tc>
          <w:tcPr>
            <w:tcW w:type="dxa" w:w="3600"/>
          </w:tcPr>
          <w:p>
            <w:r>
              <w:rPr>
                <w:rFonts w:ascii="Arial" w:hAnsi="Arial"/>
                <w:b/>
                <w:i w:val="0"/>
                <w:sz w:val="20"/>
              </w:rPr>
              <w:t>Deliverable 1 — Per-patient dataset</w:t>
            </w:r>
          </w:p>
        </w:tc>
        <w:tc>
          <w:tcPr>
            <w:tcW w:type="dxa" w:w="5760"/>
          </w:tcPr>
          <w:p>
            <w:r>
              <w:rPr>
                <w:rFonts w:ascii="Arial" w:hAnsi="Arial"/>
                <w:b w:val="0"/>
                <w:i w:val="0"/>
                <w:sz w:val="20"/>
              </w:rPr>
              <w:t>M038_GOITER_patient_level_dataset.xlsx (Cover / Patient Data / Data Dictionary)</w:t>
            </w:r>
          </w:p>
        </w:tc>
      </w:tr>
      <w:tr>
        <w:tc>
          <w:tcPr>
            <w:tcW w:type="dxa" w:w="3600"/>
          </w:tcPr>
          <w:p>
            <w:r>
              <w:rPr>
                <w:rFonts w:ascii="Arial" w:hAnsi="Arial"/>
                <w:b/>
                <w:i w:val="0"/>
                <w:sz w:val="20"/>
              </w:rPr>
              <w:t>Deliverable 2 — Analysis workbook</w:t>
            </w:r>
          </w:p>
        </w:tc>
        <w:tc>
          <w:tcPr>
            <w:tcW w:type="dxa" w:w="5760"/>
          </w:tcPr>
          <w:p>
            <w:r>
              <w:rPr>
                <w:rFonts w:ascii="Arial" w:hAnsi="Arial"/>
                <w:b w:val="0"/>
                <w:i w:val="0"/>
                <w:sz w:val="20"/>
              </w:rPr>
              <w:t>M038_GOITER_analysis_workbook.xlsx (9 tabs: overview, T1-T5, NSQIP, component subgroup, exploratory)</w:t>
            </w:r>
          </w:p>
        </w:tc>
      </w:tr>
      <w:tr>
        <w:tc>
          <w:tcPr>
            <w:tcW w:type="dxa" w:w="3600"/>
          </w:tcPr>
          <w:p>
            <w:r>
              <w:rPr>
                <w:rFonts w:ascii="Arial" w:hAnsi="Arial"/>
                <w:b/>
                <w:i w:val="0"/>
                <w:sz w:val="20"/>
              </w:rPr>
              <w:t>Deliverable 3 — Pub-formatted tables/figures</w:t>
            </w:r>
          </w:p>
        </w:tc>
        <w:tc>
          <w:tcPr>
            <w:tcW w:type="dxa" w:w="5760"/>
          </w:tcPr>
          <w:p>
            <w:r>
              <w:rPr>
                <w:rFonts w:ascii="Arial" w:hAnsi="Arial"/>
                <w:b w:val="0"/>
                <w:i w:val="0"/>
                <w:sz w:val="20"/>
              </w:rPr>
              <w:t>M038_GOITER_tables_figures.xlsx (T1-T5 + Fig 1-4 data + Supp S1-S6)</w:t>
            </w:r>
          </w:p>
        </w:tc>
      </w:tr>
      <w:tr>
        <w:tc>
          <w:tcPr>
            <w:tcW w:type="dxa" w:w="3600"/>
          </w:tcPr>
          <w:p>
            <w:r>
              <w:rPr>
                <w:rFonts w:ascii="Arial" w:hAnsi="Arial"/>
                <w:b/>
                <w:i w:val="0"/>
                <w:sz w:val="20"/>
              </w:rPr>
              <w:t>Deliverable 4 — eMethods</w:t>
            </w:r>
          </w:p>
        </w:tc>
        <w:tc>
          <w:tcPr>
            <w:tcW w:type="dxa" w:w="5760"/>
          </w:tcPr>
          <w:p>
            <w:r>
              <w:rPr>
                <w:rFonts w:ascii="Arial" w:hAnsi="Arial"/>
                <w:b w:val="0"/>
                <w:i w:val="0"/>
                <w:sz w:val="20"/>
              </w:rPr>
              <w:t>M038_GOITER_eMethods.docx (this document)</w:t>
            </w:r>
          </w:p>
        </w:tc>
      </w:tr>
      <w:tr>
        <w:tc>
          <w:tcPr>
            <w:tcW w:type="dxa" w:w="3600"/>
          </w:tcPr>
          <w:p>
            <w:r>
              <w:rPr>
                <w:rFonts w:ascii="Arial" w:hAnsi="Arial"/>
                <w:b/>
                <w:i w:val="0"/>
                <w:sz w:val="20"/>
              </w:rPr>
              <w:t>Reproducible scripts</w:t>
            </w:r>
          </w:p>
        </w:tc>
        <w:tc>
          <w:tcPr>
            <w:tcW w:type="dxa" w:w="5760"/>
          </w:tcPr>
          <w:p>
            <w:r>
              <w:rPr>
                <w:rFonts w:ascii="Arial" w:hAnsi="Arial"/>
                <w:b w:val="0"/>
                <w:i w:val="0"/>
                <w:sz w:val="20"/>
              </w:rPr>
              <w:t>data_extraction_v2_20260504/01-05_*.py + _stats.py</w:t>
            </w:r>
          </w:p>
        </w:tc>
      </w:tr>
      <w:tr>
        <w:tc>
          <w:tcPr>
            <w:tcW w:type="dxa" w:w="3600"/>
          </w:tcPr>
          <w:p>
            <w:r>
              <w:rPr>
                <w:rFonts w:ascii="Arial" w:hAnsi="Arial"/>
                <w:b/>
                <w:i w:val="0"/>
                <w:sz w:val="20"/>
              </w:rPr>
              <w:t>Standing rule reference</w:t>
            </w:r>
          </w:p>
        </w:tc>
        <w:tc>
          <w:tcPr>
            <w:tcW w:type="dxa" w:w="5760"/>
          </w:tcPr>
          <w:p>
            <w:r>
              <w:rPr>
                <w:rFonts w:ascii="Arial" w:hAnsi="Arial"/>
                <w:b w:val="0"/>
                <w:i w:val="0"/>
                <w:sz w:val="20"/>
              </w:rPr>
              <w:t>memory/feedback_complications_transient_vs_permanent.md</w:t>
            </w:r>
          </w:p>
        </w:tc>
      </w:tr>
      <w:tr>
        <w:tc>
          <w:tcPr>
            <w:tcW w:type="dxa" w:w="3600"/>
          </w:tcPr>
          <w:p>
            <w:r>
              <w:rPr>
                <w:rFonts w:ascii="Arial" w:hAnsi="Arial"/>
                <w:b/>
                <w:i w:val="0"/>
                <w:sz w:val="20"/>
              </w:rPr>
              <w:t>Validation reference</w:t>
            </w:r>
          </w:p>
        </w:tc>
        <w:tc>
          <w:tcPr>
            <w:tcW w:type="dxa" w:w="5760"/>
          </w:tcPr>
          <w:p>
            <w:r>
              <w:rPr>
                <w:rFonts w:ascii="Arial" w:hAnsi="Arial"/>
                <w:b w:val="0"/>
                <w:i w:val="0"/>
                <w:sz w:val="20"/>
              </w:rPr>
              <w:t>09_validation_report.md (2026-05-01 — 153/156 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