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6"/>
          <w:szCs w:val="26"/>
          <w:rtl w:val="0"/>
        </w:rPr>
        <w:t xml:space="preserve">Thyroid (Mary Ann Liebert) — Original Article Submission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2"/>
          <w:szCs w:val="22"/>
          <w:rtl w:val="0"/>
        </w:rPr>
        <w:t xml:space="preserve">Prepared 2026-05-05 from M025_v2 submission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Files in this package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cover_and_admin/00_Cover_Letter.docx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Cover letter to Editor-in-Chief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cover_and_admin/01_Suggested_Reviewers.docx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Preferred and non-preferred reviewers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cover_and_admin/02_Highlights.docx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Key points / highlights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manuscript/01_Title_Page.docx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Separate title page (anonymized main text on request)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manuscript/02_Manuscript_Main.docx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Abstract, body, 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manuscript/03_Tables.docx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Tables 1–4 + Supplementary S1–S6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manuscript/04_Figures_with_Legends.docx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Figures 1–5 + Supplementary S1 with legends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figures/Figure_1..5 + S1 (.png and .pdf)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300-dpi PNG and vector PDF for each figure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supplementary/Supplementary_Material.docx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Combined supplementary text + tables (build separately if requested)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supplementary/M025_master_data.xlsx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De-identified summary data (provided)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supplementary/M025_tables_and_summary.xlsx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Manuscript tables + statistical summary (provided)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supplementary/Reproduction_code/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DuckDB SQL + Python scripts for full reproduction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20" w:before="1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Pre-submission checklist (Thyroid Original Article)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 /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Article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Original Article (research)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sz w:val="18"/>
                <w:szCs w:val="18"/>
                <w:rtl w:val="0"/>
              </w:rPr>
              <w:t xml:space="preserve">Structured abstract ≤ 250 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Yes — 250 words (Background, Methods, Results, Conclusions)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sz w:val="18"/>
                <w:szCs w:val="18"/>
                <w:rtl w:val="0"/>
              </w:rPr>
              <w:t xml:space="preserve">Main text ≤ 4,000 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Yes — ~3,800 words (Introduction–Conclusions)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sz w:val="18"/>
                <w:szCs w:val="18"/>
                <w:rtl w:val="0"/>
              </w:rPr>
              <w:t xml:space="preserve">References Vancouver-style, ≤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35 numbered 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sz w:val="18"/>
                <w:szCs w:val="18"/>
                <w:rtl w:val="0"/>
              </w:rPr>
              <w:t xml:space="preserve">In-text Tables ≤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 in-text tables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sz w:val="18"/>
                <w:szCs w:val="18"/>
                <w:rtl w:val="0"/>
              </w:rPr>
              <w:t xml:space="preserve">In-text Figures ≤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 in-text figures (Fig 1, 2, 3, 3b, 4,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Color figures (online open access)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All figures supplied as 300-dpi PNG and vector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Title page separate from main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Yes — 01_Title_Page.docx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sz w:val="18"/>
                <w:szCs w:val="18"/>
                <w:rtl w:val="0"/>
              </w:rPr>
              <w:t xml:space="preserve">Running title ≤ 60 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Yes — 'ACR TI-RADS in a 25-year operative cohort' (49 chars)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3–8 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 keywords supplied — trim to 8 if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Conflict-of-interest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Stated on title page and in main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Funding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[TODO: Confirm prior to submission]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IRB / ethical approval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[TODO: Confirm IRB protocol number]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CRediT author contributions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Included on title page and main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Data availability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Included; supplementary xlsx + reproduction code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Suggested reviewers (3–5)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 supplied in 01_Suggested_Reviewers.docx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ICMJE author-disclosure 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[TODO: Each author submits via ICMJE form portal]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ORCID iDs for all 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[TODO: Confirm ORCID iDs for all listed authors]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Permissions for any reproduced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Not applicable (no reproduced material)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Manuscript submission via Editorial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https://home.liebertpub.com/publications/thyroid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20" w:before="1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Pre-flight numerical sanity checks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Patient cohort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3,375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Patient malignant n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1,479 (43.8%)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Patient AUC (95% CI)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0.648 (0.630–0.667)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Youden-optimal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sz w:val="18"/>
                <w:szCs w:val="18"/>
                <w:rtl w:val="0"/>
              </w:rPr>
              <w:t xml:space="preserve">TR≥TR4 (J = 0.271)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Strict-eligible nodule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3,687 (631 path-malignant)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Nodule 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0.640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Nodule TR4 ROM (95% CI)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18.7% (16.3–21.5)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Nodule TR5 ROM (95% CI)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26.1% (23.7–28.6)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TR4 inflation 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+28.6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TR5 inflation 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+32.6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Unnecessary FNAs flagged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1,553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Cancers below ACR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Structured (inm_v1) 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99.3% (3,660 / 3,687)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12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18"/>
          <w:szCs w:val="18"/>
          <w:rtl w:val="0"/>
        </w:rPr>
        <w:t xml:space="preserve">All values cross-validated against M025_tables_and_summary.xlsx (Cover, Table_1, Table_2, Table_3, Sensitivity_Arms, QA_Gates).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1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Outstanding TODOs before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full author list, degrees, ORCID iDs, and order with senior author.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IRB protocol number and ethics statement.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funding source / 'no external funding' statement.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author review of Acknowledgments and CRediT contributions.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proofread of manuscript main text and tables for institutional name resolution (currently 'Emory University' — confirm or replace).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author completes ICMJE author-disclosure form via the journal portal.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Vancouver-style reference list against final senior-author edits; Thyroid permits up to 50 references.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combined Supplementary Material .docx (text + tables) once final senior-author edits to the main text are accepted.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each figure renders cleanly when downsampled to journal print size; consider submitting vector PDFs for Figures 2, 3, 3b, 4, 5.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