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2"/>
          <w:szCs w:val="22"/>
          <w:rtl w:val="0"/>
        </w:rPr>
        <w:t xml:space="preserve">TITLE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8"/>
          <w:szCs w:val="28"/>
          <w:rtl w:val="0"/>
        </w:rPr>
        <w:t xml:space="preserve">Diagnostic Performance of ACR TI-RADS in a 25-Year Operative Thyroid Cohort: Patient-Level Analysis with Nodule-Level Sister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0" w:line="36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Running title: ACR TI-RADS in a 25-year operative cohort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Authors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Logan D. Glosser, B.S.¹; [Co-author 2, degree]¹; [Senior Author], M.D., F.A.C.S.¹</w:t>
        <w:br w:type="textWrapping"/>
        <w:t xml:space="preserve">On behalf of the THYROID_2026 Institutional Study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Affiliations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¹ Department of Surgery, Emory University School of Medicine, Atlanta, Georgia,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2"/>
          <w:szCs w:val="22"/>
          <w:rtl w:val="0"/>
        </w:rPr>
        <w:t xml:space="preserve">[TODO: Confirm full author list and ORCID iDs prior to submission.]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Corresponding Author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Logan D. Glosser, B.S.</w:t>
        <w:br w:type="textWrapping"/>
        <w:t xml:space="preserve">Department of Surgery, Emory University School of Medicine</w:t>
        <w:br w:type="textWrapping"/>
        <w:t xml:space="preserve">[Address line 1]</w:t>
        <w:br w:type="textWrapping"/>
        <w:t xml:space="preserve">[Address line 2]</w:t>
        <w:br w:type="textWrapping"/>
        <w:t xml:space="preserve">Phone: [###-###-####]</w:t>
        <w:br w:type="textWrapping"/>
        <w:t xml:space="preserve">Email: logan.glosser@gmail.com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Word counts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Abstract: 250 words.</w:t>
        <w:br w:type="textWrapping"/>
        <w:t xml:space="preserve">Main text (Introduction–Conclusions): ~3,800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Tables and Figures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In-text tables: 4 (Tables 1–4).</w:t>
        <w:br w:type="textWrapping"/>
        <w:t xml:space="preserve">In-text figures: 5 (Figures 1, 2, 3, 3b, 4, 5).</w:t>
        <w:br w:type="textWrapping"/>
        <w:t xml:space="preserve">Supplementary tables: 6 (S1–S6).</w:t>
        <w:br w:type="textWrapping"/>
        <w:t xml:space="preserve">Supplementary figures: 1 (S1).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Key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ACR TI-RADS; thyroid nodule; risk of malignancy; operative cohort; multinodular attribution; selection bias; ultrasound; diagnostic performance; Bethesda; Wilson confidence interval.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[TODO: Confirm funding sources or state 'No external funding was received for this work.']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Conflicts of Interest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The authors declare no conflicts of interest related to this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Ethics / IRB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This retrospective analysis was conducted under Emory University Institutional Review Board protocol [#TBD] with informed-consent waiver. De-identified data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6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and Code Availability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="3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2"/>
          <w:szCs w:val="22"/>
          <w:rtl w:val="0"/>
        </w:rPr>
        <w:t xml:space="preserve">De-identified summary tables and reproduction SQL/Python are included as Supplementary Material. Patient-level data are subject to institutional sharing rules and available on reasonable request to the corresponding author.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