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before="0" w:line="360" w:lineRule="auto"/>
        <w:jc w:val="center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Tables and Supplementary Tables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1. Baseline characteristics by maximum TI-RADS category (patient cohort, n = 3,375)</w:t>
      </w:r>
      <w:r>
        <w:rPr>
          <w:rtl w:val="0"/>
        </w:rPr>
      </w:r>
    </w:p>
    <w:tbl>
      <w:tblPr>
        <w:tblStyle w:val="Table1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Max TR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 (%)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Age, mean (SD)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Female n (%)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Black n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White n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Med. img size (cm)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Malignant n (%)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TR1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340 (10.07%)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51.8 (14.8)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282 (82.9%)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184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120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1.06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96 (28.24%)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TR2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299 (8.86%)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53.3 (14.2)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253 (84.6%)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158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100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1.44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96 (32.11%)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TR3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845 (25.04%)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53.9 (14.9)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684 (80.9%)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489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272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1.76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233 (27.57%)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TR4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492 (14.58%)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54.2 (14.3)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397 (80.7%)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207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215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1.99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233 (47.36%)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TR5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1,399 (41.45%)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53.6 (15.3)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1,075 (76.8%)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497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675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2.29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821 (58.68%)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20" w:before="0" w:line="360" w:lineRule="auto"/>
        <w:rPr/>
      </w:pPr>
      <w:r>
        <w:rPr>
          <w:rFonts w:ascii="Cardo" w:cs="Cardo" w:eastAsia="Cardo" w:hAnsi="Cardo"/>
          <w:b w:val="0"/>
          <w:bCs w:val="0"/>
          <w:i w:val="1"/>
          <w:iCs w:val="1"/>
          <w:sz w:val="18"/>
          <w:szCs w:val="18"/>
          <w:rtl w:val="0"/>
        </w:rPr>
        <w:t xml:space="preserve">Source: M025_tables_and_summary.xlsx → Table_1_Baseline.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2. Diagnostic performance of ACR TI-RADS at three pre-specified thresholds</w:t>
      </w:r>
      <w:r>
        <w:rPr>
          <w:rtl w:val="0"/>
        </w:rPr>
      </w:r>
    </w:p>
    <w:tbl>
      <w:tblPr>
        <w:tblStyle w:val="Table2"/>
        <w:tblW w:w="9360.000000000002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Grain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Threshold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TP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FP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FN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TN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Sens % (95% CI)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 % (95% CI)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PPV %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NPV 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Patient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TR≥TR3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1,287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1,449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192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447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87.0 (85.2–88.6)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23.6 (21.7–25.5)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47.0 (45.2–48.9)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70.0 (66.3–73.4)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Patient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TR≥TR4 (Youden)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1,054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837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425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1,059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71.3 (68.9–73.5)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55.9 (53.6–58.1)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55.7 (53.5–58.0)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71.4 (69.0–73.6)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Patient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TR≥TR5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821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578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658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1,318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55.5 (53.0–58.0)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69.5 (67.4–71.6)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58.7 (56.1–61.2)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66.7 (64.6–68.7)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Nodule (strict)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TR≥TR3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627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3,029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27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99.4 (98.4–99.8)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0.9 (0.6–1.3)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17.2 (16.0–18.4)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87.1 (71.2–94.9)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Nodule (strict)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TR≥TR4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485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1,616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146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1,440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76.9 (73.4–80.0)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47.1 (45.4–48.9)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23.1 (21.3–24.9)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90.8 (89.3–92.1)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Nodule (strict)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TR≥TR5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324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917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307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2,139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51.4 (47.5–55.2)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70.0 (68.3–71.6)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26.1 (23.7–28.6)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87.5 (86.1–88.7)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20" w:before="0" w:line="360" w:lineRule="auto"/>
        <w:rPr/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z w:val="18"/>
          <w:szCs w:val="18"/>
          <w:rtl w:val="0"/>
        </w:rPr>
        <w:t xml:space="preserve">Wilson 95% CIs. Patient AUC = 0.648 [0.630–0.667]; Nodule AUC = 0.640. Source: Table_2_Thresholds.</w:t>
      </w:r>
      <w:r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3. Patient-level versus nodule-level ROM by TI-RADS category with ACR-expected bands</w:t>
      </w:r>
      <w:r>
        <w:rPr>
          <w:rtl w:val="0"/>
        </w:rPr>
      </w:r>
    </w:p>
    <w:tbl>
      <w:tblPr>
        <w:tblStyle w:val="Table3"/>
        <w:tblW w:w="9360.000000000002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TR cat.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Patient n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Pat. malignant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Patient ROM % (95% CI)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Nodule n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Nod. malignant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Nodule ROM % (95% CI)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ACR band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 band?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Inflation pp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TR1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340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96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28.24 (23.71–33.24)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&lt;2%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TR2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299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96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32.11 (27.07–37.60)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31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12.90 (5.13–28.85)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&lt;2%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+19.21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TR3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845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233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27.57 (24.67–30.68)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1,555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142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9.13 (7.80–10.67)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&lt;5%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+18.44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TR4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492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233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47.36 (42.98–51.77)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860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161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18.72 (16.26–21.47)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5–20%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+28.64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TR5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1,399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821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58.68 (56.08–61.24)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1,241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324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26.11 (23.74–28.62)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&gt;20%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+32.57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120" w:before="0" w:line="360" w:lineRule="auto"/>
        <w:rPr/>
      </w:pPr>
      <w:r>
        <w:rPr>
          <w:rFonts w:ascii="Gungsuh" w:cs="Gungsuh" w:eastAsia="Gungsuh" w:hAnsi="Gungsuh"/>
          <w:b w:val="0"/>
          <w:bCs w:val="0"/>
          <w:i w:val="1"/>
          <w:iCs w:val="1"/>
          <w:sz w:val="18"/>
          <w:szCs w:val="18"/>
          <w:rtl w:val="0"/>
        </w:rPr>
        <w:t xml:space="preserve">Inflation = patient ROM − nodule ROM (percentage points). Source: Table_3_Patient_vs_Nodule.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4. Bethesda × TI-RADS contingency at the strict-ACR-eligible nodule level (n = 3,687)</w:t>
      </w:r>
      <w:r>
        <w:rPr>
          <w:rtl w:val="0"/>
        </w:rPr>
      </w:r>
    </w:p>
    <w:tbl>
      <w:tblPr>
        <w:tblStyle w:val="Table4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Bethesda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TR2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TR3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TR4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 (nondiagnostic)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II (benign)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84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29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III (AUS)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IV (FN/SFN)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23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19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 (suspicious)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VI (malignant)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23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33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Missing (no FNA bridge)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1,379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747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1,041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120" w:before="0" w:line="360" w:lineRule="auto"/>
        <w:rPr/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z w:val="18"/>
          <w:szCs w:val="18"/>
          <w:rtl w:val="0"/>
        </w:rPr>
        <w:t xml:space="preserve">Source: Table_4_Bethesda_x_TR. 495 (13.4%) of strict-eligible nodules had a bridged Bethesda value.</w:t>
      </w:r>
      <w:r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0" w:line="360" w:lineRule="auto"/>
        <w:jc w:val="center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6"/>
          <w:szCs w:val="26"/>
          <w:rtl w:val="0"/>
        </w:rPr>
        <w:t xml:space="preserve">Supplementary Tables</w:t>
      </w:r>
      <w:r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Supplementary Table S1. Pre-specified sensitivity arms (nodule grain)</w:t>
      </w:r>
      <w:r>
        <w:rPr>
          <w:rtl w:val="0"/>
        </w:rPr>
      </w:r>
    </w:p>
    <w:tbl>
      <w:tblPr>
        <w:tblStyle w:val="Table5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Arm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 nodules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Per-TR ROM and threshold metrics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Primary (strict)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3,687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TR4 ROM 18.7% [16.3–21.5]; TR5 ROM 26.1% [23.7–28.6]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S1A relaxed gate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15,309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TR4 ROM ~23.0%; PPV 23.1%, Sens 44.6%, Spec 78.0% at TR≥TR4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S1B first-US-only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≈3,687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Identical to primary (nodule_master_id deduplicates)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S1C single-nodule pts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782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TR4 ROM 30.7%; TR5 ROM 34.9% (selection effect)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S1D unilateral path-only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TR4 ROM 8.5%; TR5 ROM 10.7% (conservative bilateral exclusion)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Supplementary Table S2. Pre-specified era split (boundary 2017-05-01)</w:t>
      </w:r>
      <w:r>
        <w:rPr>
          <w:rtl w:val="0"/>
        </w:rPr>
      </w:r>
    </w:p>
    <w:tbl>
      <w:tblPr>
        <w:tblStyle w:val="Table6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Era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Grain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Per-TR ROM (TR3 / TR4 / TR5)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Pre-2017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Patient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422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TR3 24.8% / TR4 40.4% / TR5 64.8%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Post-2017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Patient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2,953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TR3 28.0% / TR4 48.2% / TR5 58.1%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Pre-2017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Nodule (strict)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381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TR3 13.2% / TR4 24.7% / TR5 41.6%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Post-2017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Nodule (strict)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3,306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TR3 8.6% / TR4 18.0% / TR5 24.4% (within ACR bands)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Supplementary Table S3. Time-window sensitivity for per-nodule path matching (strict-eligible nodule grain)</w:t>
      </w:r>
      <w:r>
        <w:rPr>
          <w:rtl w:val="0"/>
        </w:rPr>
      </w:r>
    </w:p>
    <w:tbl>
      <w:tblPr>
        <w:tblStyle w:val="Table7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 cat.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 total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ROM 365 d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ROM 180 d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ROM 90 d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ROM 30 d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Median d to mal. surg.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75th %ile 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TR2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12.9%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12.9%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12.9%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9.7%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27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29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TR3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1,555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9.13%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7.40%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4.95%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2.12%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77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TR4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860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18.72%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15.7%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11.3%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6.05%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73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TR5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1,241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26.11%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22.16%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16.76%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8.94%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58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115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Supplementary Table S4. Subgroup-stratified per-TR ROM (patient grain)</w:t>
      </w:r>
      <w:r>
        <w:rPr>
          <w:rtl w:val="0"/>
        </w:rPr>
      </w:r>
    </w:p>
    <w:tbl>
      <w:tblPr>
        <w:tblStyle w:val="Table8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Stratum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TR1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TR2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TR3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TR4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Female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26.6%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28.9%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26.2%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44.8%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55.8%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Male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36.2%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50.0%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33.5%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57.9%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68.2%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Age &lt;40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38.2%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42.1%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40.7%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57.1%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78.4%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Age 40–54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20.4%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29.4%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26.6%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47.8%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57.2%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Age 55–69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27.1%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27.9%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19.9%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46.5%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51.3%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Age ≥70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34.1%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35.9%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30.4%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38.0%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52.5%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Supplementary Table S5. mig_264 Bethesda-II false-negative audit dispositions (n = 360)</w:t>
      </w:r>
      <w:r>
        <w:rPr>
          <w:rtl w:val="0"/>
        </w:rPr>
      </w:r>
    </w:p>
    <w:tbl>
      <w:tblPr>
        <w:tblStyle w:val="Table9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Disposition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% of audited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True false-negative cytology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13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3.6%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Multinodular attribution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21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5.8%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Coverage gap (no FNA-path bridge)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173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48.1%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Path-bridge timing artifact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3.3%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Other / under review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141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39.2%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Supplementary Table S6. ACR 2017 FNA-eligibility rule application summary (patient grain)</w:t>
      </w:r>
      <w:r>
        <w:rPr>
          <w:rtl w:val="0"/>
        </w:rPr>
      </w:r>
    </w:p>
    <w:tbl>
      <w:tblPr>
        <w:tblStyle w:val="Table10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Audit cell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Total FNAs performed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3,375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Patient cohort denominator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FNAs warranted by ACR rule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1,822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Above ACR size-threshold for TR-cell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Unnecessary FNAs by ACR rule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1,553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TR&lt;TR3 or below TR-size threshold (46.0%)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Total cancers in cohort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1,479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Cancers above ACR threshold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1,007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ACR-detectable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Cancers below ACR threshold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472</w:t>
            </w:r>
            <w:r>
              <w:rPr>
                <w:rtl w:val="0"/>
              </w:rPr>
            </w:r>
          </w:p>
        </w:tc>
        <w:tc>
          <w:tcPr>
            <w:shd w:fill="f4f7fb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False-negatives of ACR rule (31.9% of malignancies; 14.0% of cohort)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