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0" w:before="0" w:line="360" w:lineRule="auto"/>
        <w:jc w:val="center"/>
        <w:rPr/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Figures and Figure Legends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60" w:line="276" w:lineRule="auto"/>
        <w:rPr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Figure 1. Cohort flow diagram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="360" w:lineRule="auto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From 10,871 unique research IDs in the institutional thyroid surgical warehouse, 3,375 patients met inclusion criteria for the patient-level primary analysis. The pre-specified strict-ACR-eligible nodule subset of 3,687 nodules from 1,668 patients was used for the nodule-level sister analysis. Exclusion arms quantify dropouts at each gate.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>
        <w:rPr/>
        <w:drawing>
          <wp:inline distB="0" distT="0" distL="114300" distR="114300">
            <wp:extent cx="5760720" cy="5237977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379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60" w:line="276" w:lineRule="auto"/>
        <w:rPr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Figure 2. Patient-level receiver-operating-characteristic curve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0" w:line="360" w:lineRule="auto"/>
        <w:rPr/>
      </w:pPr>
      <w:r>
        <w:rPr>
          <w:rFonts w:ascii="Gungsuh" w:cs="Gungsuh" w:eastAsia="Gungsuh" w:hAnsi="Gungsuh"/>
          <w:b w:val="0"/>
          <w:bCs w:val="0"/>
          <w:i w:val="0"/>
          <w:iCs w:val="0"/>
          <w:sz w:val="22"/>
          <w:szCs w:val="22"/>
          <w:rtl w:val="0"/>
        </w:rPr>
        <w:t xml:space="preserve">ROC for ACR TI-RADS in the 3,375-patient operative cohort. AUC 0.648 (95% CI 0.630–0.667). Three pre-specified threshold operating points (TR≥TR3, TR≥TR4, TR≥TR5) are annotated; the Youden-optimal threshold TR≥TR4 (J = 0.271; sensitivity 71.3%, specificity 55.9%) is circled.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>
        <w:rPr/>
        <w:drawing>
          <wp:inline distB="0" distT="0" distL="114300" distR="114300">
            <wp:extent cx="5760720" cy="5692987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92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60" w:line="276" w:lineRule="auto"/>
        <w:rPr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Figure 3. Patient-level per-category risk of malignancy</w:t>
      </w:r>
      <w:r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0" w:line="360" w:lineRule="auto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Patient-level ROM by ACR TI-RADS category with Wilson 95% CIs and overlay of ACR 2017 expected ranges (TR1 &lt;2%; TR2 &lt;2%; TR3 &lt;5%; TR4 5–20%; TR5 &gt;20%). Patient ROM exceeds expected bands at TR1–TR4; only TR5 falls within the expected band.</w:t>
      </w:r>
      <w:r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>
        <w:rPr/>
        <w:drawing>
          <wp:inline distB="0" distT="0" distL="114300" distR="114300">
            <wp:extent cx="5760720" cy="415536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5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160" w:line="276" w:lineRule="auto"/>
        <w:rPr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Figure 3b. Patient- vs nodule-grain ROM with ACR-expected bands</w:t>
      </w:r>
      <w:r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="360" w:lineRule="auto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Paired patient and nodule per-category ROM with Wilson 95% CIs and ACR 2017 expected bands. Per-nodule TR4 (18.7%) and TR5 (26.1%) recover within-band calibration. Patient-versus-nodule inflation at TR4 and TR5 is +28.6 and +32.6 percentage points, quantifying multinodular attribution error.</w:t>
      </w:r>
      <w:r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>
        <w:rPr/>
        <w:drawing>
          <wp:inline distB="0" distT="0" distL="114300" distR="114300">
            <wp:extent cx="5760720" cy="411659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6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60" w:line="276" w:lineRule="auto"/>
        <w:rPr/>
      </w:pPr>
      <w:r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Figure 4. Diagnostic confusion at TR≥TR4 and ACR FNA-eligibility audit</w:t>
      </w:r>
      <w:r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0" w:line="360" w:lineRule="auto"/>
        <w:rPr/>
      </w:pPr>
      <w:r>
        <w:rPr>
          <w:rFonts w:ascii="Gungsuh" w:cs="Gungsuh" w:eastAsia="Gungsuh" w:hAnsi="Gungsuh"/>
          <w:b w:val="0"/>
          <w:bCs w:val="0"/>
          <w:i w:val="0"/>
          <w:iCs w:val="0"/>
          <w:sz w:val="22"/>
          <w:szCs w:val="22"/>
          <w:rtl w:val="0"/>
        </w:rPr>
        <w:t xml:space="preserve">Patient-level confusion matrix at the Youden-optimal TR≥TR4 threshold (TP 1,054; FP 837; FN 425; TN 1,059) and ACR 2017 FNA-eligibility stacked chart. Retrospective rule application flagged 1,553 below-threshold cases (46.0% of the 3,375-patient cohort) and 472 malignant patients below the ACR FNA threshold (31.9% of 1,479 malignancies; 14.0% of cohort).</w:t>
      </w:r>
      <w:r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>
        <w:rPr/>
        <w:drawing>
          <wp:inline distB="0" distT="0" distL="114300" distR="114300">
            <wp:extent cx="5760720" cy="3036831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68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160" w:line="276" w:lineRule="auto"/>
        <w:rPr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Figure 5. Subgroup forest plot — AUC by demographic stratum</w:t>
      </w:r>
      <w:r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0" w:line="360" w:lineRule="auto"/>
        <w:rPr/>
      </w:pPr>
      <w:r>
        <w:rPr>
          <w:rFonts w:ascii="Gungsuh" w:cs="Gungsuh" w:eastAsia="Gungsuh" w:hAnsi="Gungsuh"/>
          <w:b w:val="0"/>
          <w:bCs w:val="0"/>
          <w:i w:val="0"/>
          <w:iCs w:val="0"/>
          <w:sz w:val="22"/>
          <w:szCs w:val="22"/>
          <w:rtl w:val="0"/>
        </w:rPr>
        <w:t xml:space="preserve">AUC stratified by sex, age band (&lt;40, 40–54, 55–69, ≥70 years), and surgery era (pre-2017 / post-2017). Discrimination (modest) is preserved across all strata; the cohort overall AUC of 0.648 is shown as a reference.</w:t>
      </w:r>
      <w:r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>
        <w:rPr/>
        <w:drawing>
          <wp:inline distB="0" distT="0" distL="114300" distR="114300">
            <wp:extent cx="5760720" cy="5268558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68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160" w:line="276" w:lineRule="auto"/>
        <w:rPr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Supplementary Figure S1. Bethesda × TI-RADS heatmap (strict-eligible nodule level)</w:t>
      </w:r>
      <w:r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0" w:line="360" w:lineRule="auto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Heatmap of Bethesda × TI-RADS contingency at the strict-eligible nodule level (n = 3,687 nodules). 495 (13.4%) of strict-eligible nodules had a bridged Bethesda value; the dominant 'Missing' row reflects the FNA-linkage carry-forward limitation (CF-FNA-SIZE-CM-NULL).</w:t>
      </w:r>
      <w:r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>
        <w:rPr/>
        <w:drawing>
          <wp:inline distB="0" distT="0" distL="114300" distR="114300">
            <wp:extent cx="5760720" cy="3942903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2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2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