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m038-title-page"/>
    <w:p>
      <w:pPr>
        <w:pStyle w:val="Heading1"/>
      </w:pPr>
      <w:r>
        <w:t xml:space="preserve">M038 Title Page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Massive Goiter at a Tertiary Referral Center — A Composite-Definition Descriptive Cohort of 2,501 Patients (Emory University, 1999–2025)</w:t>
      </w:r>
    </w:p>
    <w:p>
      <w:pPr>
        <w:pStyle w:val="BodyText"/>
      </w:pPr>
      <w:r>
        <w:rPr>
          <w:b/>
          <w:bCs/>
        </w:rPr>
        <w:t xml:space="preserve">Short Title:</w:t>
      </w:r>
      <w:r>
        <w:t xml:space="preserve"> </w:t>
      </w:r>
      <w:r>
        <w:t xml:space="preserve">Composite-Definition Massive Goiter Cohort, 1999–2025</w:t>
      </w:r>
    </w:p>
    <w:p>
      <w:pPr>
        <w:pStyle w:val="BodyText"/>
      </w:pPr>
      <w:r>
        <w:rPr>
          <w:b/>
          <w:bCs/>
        </w:rPr>
        <w:t xml:space="preserve">Authors:</w:t>
      </w:r>
      <w:r>
        <w:t xml:space="preserve"> </w:t>
      </w:r>
      <w:r>
        <w:t xml:space="preserve">- Logan Glosser, MS</w:t>
      </w:r>
      <w:r>
        <w:t xml:space="preserve"> </w:t>
      </w:r>
      <w:r>
        <w:rPr>
          <w:i/>
          <w:iCs/>
        </w:rPr>
        <w:t xml:space="preserve">[VERIFY — degree, position]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[VERIFY — co-authors and affiliations]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[VERIFY — Senior Author]</w:t>
      </w:r>
    </w:p>
    <w:p>
      <w:pPr>
        <w:pStyle w:val="BodyText"/>
      </w:pPr>
      <w:r>
        <w:rPr>
          <w:b/>
          <w:bCs/>
        </w:rPr>
        <w:t xml:space="preserve">Affiliations:</w:t>
      </w:r>
      <w:r>
        <w:t xml:space="preserve"> </w:t>
      </w:r>
      <w:r>
        <w:t xml:space="preserve">Department of Surgery, Emory University School of Medicine, Atlanta, GA</w:t>
      </w:r>
      <w:r>
        <w:t xml:space="preserve"> </w:t>
      </w:r>
      <w:r>
        <w:rPr>
          <w:i/>
          <w:iCs/>
        </w:rPr>
        <w:t xml:space="preserve">[VERIFY]</w:t>
      </w:r>
    </w:p>
    <w:p>
      <w:pPr>
        <w:pStyle w:val="BodyText"/>
      </w:pPr>
      <w:r>
        <w:rPr>
          <w:b/>
          <w:bCs/>
        </w:rPr>
        <w:t xml:space="preserve">Corresponding Author:</w:t>
      </w:r>
      <w:r>
        <w:t xml:space="preserve"> </w:t>
      </w:r>
      <w:r>
        <w:rPr>
          <w:i/>
          <w:iCs/>
        </w:rPr>
        <w:t xml:space="preserve">[VERIFY]</w:t>
      </w:r>
      <w:r>
        <w:t xml:space="preserve"> </w:t>
      </w:r>
      <w:r>
        <w:t xml:space="preserve">Email:</w:t>
      </w:r>
      <w:r>
        <w:t xml:space="preserve"> </w:t>
      </w:r>
      <w:r>
        <w:rPr>
          <w:i/>
          <w:iCs/>
        </w:rPr>
        <w:t xml:space="preserve">[VERIFY]</w:t>
      </w:r>
      <w:r>
        <w:t xml:space="preserve"> </w:t>
      </w:r>
      <w:r>
        <w:t xml:space="preserve">Phone:</w:t>
      </w:r>
      <w:r>
        <w:t xml:space="preserve"> </w:t>
      </w:r>
      <w:r>
        <w:rPr>
          <w:i/>
          <w:iCs/>
        </w:rPr>
        <w:t xml:space="preserve">[VERIFY]</w:t>
      </w:r>
    </w:p>
    <w:p>
      <w:pPr>
        <w:pStyle w:val="BodyText"/>
      </w:pPr>
      <w:r>
        <w:rPr>
          <w:b/>
          <w:bCs/>
        </w:rPr>
        <w:t xml:space="preserve">Manuscript metrics (estimated):</w:t>
      </w:r>
      <w:r>
        <w:t xml:space="preserve"> </w:t>
      </w:r>
      <w:r>
        <w:t xml:space="preserve">- Word count (body, excl. abstract / refs / tables): ~3,400</w:t>
      </w:r>
      <w:r>
        <w:t xml:space="preserve"> </w:t>
      </w:r>
      <w:r>
        <w:t xml:space="preserve">- Abstract: 339 words (target ≤350)</w:t>
      </w:r>
      <w:r>
        <w:t xml:space="preserve"> </w:t>
      </w:r>
      <w:r>
        <w:t xml:space="preserve">- Tables: 5 (Tables 1–5) + 6 supplementary tables (Supp S1–S6)</w:t>
      </w:r>
      <w:r>
        <w:t xml:space="preserve"> </w:t>
      </w:r>
      <w:r>
        <w:t xml:space="preserve">- Figures: 4 (Figures 1–4)</w:t>
      </w:r>
      <w:r>
        <w:t xml:space="preserve"> </w:t>
      </w:r>
      <w:r>
        <w:t xml:space="preserve">- References: ~30 (target; AMA style)</w:t>
      </w:r>
    </w:p>
    <w:p>
      <w:pPr>
        <w:pStyle w:val="BodyText"/>
      </w:pPr>
      <w:r>
        <w:rPr>
          <w:b/>
          <w:bCs/>
        </w:rPr>
        <w:t xml:space="preserve">Financial Disclosure:</w:t>
      </w:r>
      <w:r>
        <w:t xml:space="preserve"> </w:t>
      </w:r>
      <w:r>
        <w:rPr>
          <w:i/>
          <w:iCs/>
        </w:rPr>
        <w:t xml:space="preserve">[VERIFY — funding sources, grants]</w:t>
      </w:r>
    </w:p>
    <w:p>
      <w:pPr>
        <w:pStyle w:val="BodyText"/>
      </w:pPr>
      <w:r>
        <w:rPr>
          <w:b/>
          <w:bCs/>
        </w:rPr>
        <w:t xml:space="preserve">Conflict of Interest Statement:</w:t>
      </w:r>
      <w:r>
        <w:t xml:space="preserve"> </w:t>
      </w:r>
      <w:r>
        <w:rPr>
          <w:i/>
          <w:iCs/>
        </w:rPr>
        <w:t xml:space="preserve">[VERIFY — author disclosures]</w:t>
      </w:r>
    </w:p>
    <w:p>
      <w:pPr>
        <w:pStyle w:val="BodyText"/>
      </w:pPr>
      <w:r>
        <w:rPr>
          <w:b/>
          <w:bCs/>
        </w:rPr>
        <w:t xml:space="preserve">IRB Statement:</w:t>
      </w:r>
      <w:r>
        <w:t xml:space="preserve"> </w:t>
      </w:r>
      <w:r>
        <w:t xml:space="preserve">This retrospective single-institution descriptive cohort study was approved by the Emory University Institutional Review Board (Protocol</w:t>
      </w:r>
      <w:r>
        <w:t xml:space="preserve"> </w:t>
      </w:r>
      <w:r>
        <w:rPr>
          <w:i/>
          <w:iCs/>
        </w:rPr>
        <w:t xml:space="preserve">[VERIFY — IRB#]</w:t>
      </w:r>
      <w:r>
        <w:t xml:space="preserve">). Patient identifiers were de-identified into the THYROID_2026 research registry under approved data-use procedures.</w:t>
      </w:r>
    </w:p>
    <w:p>
      <w:pPr>
        <w:pStyle w:val="BodyText"/>
      </w:pPr>
      <w:r>
        <w:rPr>
          <w:b/>
          <w:bCs/>
        </w:rPr>
        <w:t xml:space="preserve">Data Availability:</w:t>
      </w:r>
      <w:r>
        <w:t xml:space="preserve"> </w:t>
      </w:r>
      <w:r>
        <w:t xml:space="preserve">All numeric values in this manuscript reproduce from the publication-tier MotherDuck database</w:t>
      </w:r>
      <w:r>
        <w:t xml:space="preserve"> </w:t>
      </w:r>
      <w:r>
        <w:rPr>
          <w:rStyle w:val="VerbatimChar"/>
        </w:rPr>
        <w:t xml:space="preserve">thyroid_canonical_publication_v1_0</w:t>
      </w:r>
      <w:r>
        <w:t xml:space="preserve"> </w:t>
      </w:r>
      <w:r>
        <w:t xml:space="preserve">(release</w:t>
      </w:r>
      <w:r>
        <w:t xml:space="preserve"> </w:t>
      </w:r>
      <w:r>
        <w:rPr>
          <w:rStyle w:val="VerbatimChar"/>
        </w:rPr>
        <w:t xml:space="preserve">pub_v1_0_20260430</w:t>
      </w:r>
      <w:r>
        <w:t xml:space="preserve">) via the SQL package distributed in the submission package’s</w:t>
      </w:r>
      <w:r>
        <w:t xml:space="preserve"> </w:t>
      </w:r>
      <w:r>
        <w:rPr>
          <w:rStyle w:val="VerbatimChar"/>
        </w:rPr>
        <w:t xml:space="preserve">08_analysis_code/</w:t>
      </w:r>
      <w:r>
        <w:t xml:space="preserve"> </w:t>
      </w:r>
      <w:r>
        <w:t xml:space="preserve">folder. Per-patient analytic data with column-source provenance is provided as</w:t>
      </w:r>
      <w:r>
        <w:t xml:space="preserve"> </w:t>
      </w:r>
      <w:r>
        <w:rPr>
          <w:rStyle w:val="VerbatimChar"/>
        </w:rPr>
        <w:t xml:space="preserve">05b_per_patient_with_sources.xlsx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sectPr>
      <w:footnotePr>
        <w:numRestart w:val="eachSect"/>
      </w:footnotePr>
      <w:pgSz w:w="12240" w:h="15840"/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cs="Arial" w:eastAsia="Arial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Arial" w:hAnsi="Arial" w:cs="Arial" w:eastAsia="Arial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Arial" w:hAnsi="Arial" w:cs="Arial" w:eastAsia="Arial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Arial" w:hAnsi="Arial" w:cs="Arial" w:eastAsia="Arial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Arial" w:hAnsi="Arial" w:cs="Arial" w:eastAsia="Arial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2026-05-01T13:21:47Z</dcterms:created>
  <dcterms:modified xsi:type="dcterms:W3CDTF">2026-05-01T13:21:47Z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