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038-supplement"/>
    <w:p>
      <w:pPr>
        <w:pStyle w:val="Heading1"/>
      </w:pPr>
      <w:r>
        <w:t xml:space="preserve">M038 Supplement</w:t>
      </w:r>
    </w:p>
    <w:bookmarkStart w:id="15" w:name="supplementary-methods"/>
    <w:p>
      <w:pPr>
        <w:pStyle w:val="Heading2"/>
      </w:pPr>
      <w:r>
        <w:t xml:space="preserve">Supplementary Methods</w:t>
      </w:r>
    </w:p>
    <w:bookmarkStart w:id="9" w:name="X79f563287ebbc142cce1ebfc5f6d45547dfbca4"/>
    <w:p>
      <w:pPr>
        <w:pStyle w:val="Heading3"/>
      </w:pPr>
      <w:r>
        <w:t xml:space="preserve">S.M.1 Cohort assembly and the composite</w:t>
      </w:r>
      <w:r>
        <w:t xml:space="preserve"> </w:t>
      </w:r>
      <w:r>
        <w:t xml:space="preserve">“massive goiter”</w:t>
      </w:r>
      <w:r>
        <w:t xml:space="preserve"> </w:t>
      </w:r>
      <w:r>
        <w:t xml:space="preserve">exposure</w:t>
      </w:r>
    </w:p>
    <w:p>
      <w:pPr>
        <w:pStyle w:val="FirstParagraph"/>
      </w:pPr>
      <w:r>
        <w:t xml:space="preserve">The denominator (n=10,871) is the full thyroid-surgery cohort from the Emory University Hospital pathology and operative-event spine, harmonized into the publication-tier database</w:t>
      </w:r>
      <w:r>
        <w:t xml:space="preserve"> </w:t>
      </w:r>
      <w:r>
        <w:rPr>
          <w:rStyle w:val="VerbatimChar"/>
        </w:rPr>
        <w:t xml:space="preserve">thyroid_canonical_publication_v1_0</w:t>
      </w:r>
      <w:r>
        <w:t xml:space="preserve"> </w:t>
      </w:r>
      <w:r>
        <w:t xml:space="preserve">(release</w:t>
      </w:r>
      <w:r>
        <w:t xml:space="preserve"> </w:t>
      </w:r>
      <w:r>
        <w:rPr>
          <w:rStyle w:val="VerbatimChar"/>
        </w:rPr>
        <w:t xml:space="preserve">pub_v1_0_20260430</w:t>
      </w:r>
      <w:r>
        <w:t xml:space="preserve">). The composite massive-goiter exposure is the disjunction of three component flags built from independent documentation streams: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 component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gland_weight_final_g &gt;= 100</w:t>
      </w:r>
      <w:r>
        <w:t xml:space="preserve">. Source: synoptic surgical pathology workbook entries (column</w:t>
      </w:r>
      <w:r>
        <w:t xml:space="preserve"> </w:t>
      </w:r>
      <w:r>
        <w:rPr>
          <w:rStyle w:val="VerbatimChar"/>
        </w:rPr>
        <w:t xml:space="preserve">gland_weight_final_g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canonical_patient_master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Substernal component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ct_substernal_extension_any = TRUE OR mri_substernal_any = TRUE</w:t>
      </w:r>
      <w:r>
        <w:t xml:space="preserve">. Source: structured radiology extraction from CT and MRI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Airway component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ct_tracheal_deviation_any = TRUE OR ct_tracheal_narrowing_any = TRUE OR ct_airway_compromise_any = TRUE</w:t>
      </w:r>
      <w:r>
        <w:t xml:space="preserve">. Source: structured CT extraction + the institutional NLP airway pipeline.</w:t>
      </w:r>
    </w:p>
    <w:p>
      <w:pPr>
        <w:pStyle w:val="FirstParagraph"/>
      </w:pPr>
      <w:r>
        <w:t xml:space="preserve">Missing component values (NULL) are coalesced to FALSE; this is the denominator-preserving convention used in the cohort view</w:t>
      </w:r>
      <w:r>
        <w:t xml:space="preserve"> </w:t>
      </w:r>
      <w:r>
        <w:rPr>
          <w:rStyle w:val="VerbatimChar"/>
        </w:rPr>
        <w:t xml:space="preserve">manuscript_workspace.cohort_m038_massive_goiter_v1</w:t>
      </w:r>
      <w:r>
        <w:t xml:space="preserve">. A complete-data sensitivity analysis restricted to patients with non-NULL values across all six source columns is recommended at peer review.</w:t>
      </w:r>
    </w:p>
    <w:bookmarkEnd w:id="9"/>
    <w:bookmarkStart w:id="10" w:name="Xcf2c84432842f9205cd456fc260a7f94de994c6"/>
    <w:p>
      <w:pPr>
        <w:pStyle w:val="Heading3"/>
      </w:pPr>
      <w:r>
        <w:t xml:space="preserve">S.M.2 Strict-definition complication rollup (mig_252)</w:t>
      </w:r>
    </w:p>
    <w:p>
      <w:pPr>
        <w:pStyle w:val="FirstParagraph"/>
      </w:pPr>
      <w:r>
        <w:t xml:space="preserve">Postop complication outcomes use the strict canonicalization rule applied in migration</w:t>
      </w:r>
      <w:r>
        <w:t xml:space="preserve"> </w:t>
      </w:r>
      <w:r>
        <w:rPr>
          <w:rStyle w:val="VerbatimChar"/>
        </w:rPr>
        <w:t xml:space="preserve">mig_252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comp_*_confirmed = TRUE</w:t>
      </w:r>
      <w:r>
        <w:t xml:space="preserve"> </w:t>
      </w:r>
      <w:r>
        <w:t xml:space="preserve">⇔ underlying</w:t>
      </w:r>
      <w:r>
        <w:t xml:space="preserve"> </w:t>
      </w:r>
      <w:r>
        <w:rPr>
          <w:rStyle w:val="VerbatimChar"/>
        </w:rPr>
        <w:t xml:space="preserve">finding_status = 'present'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evidence_strength IN ('definitive', 'probable')</w:t>
      </w:r>
      <w:r>
        <w:t xml:space="preserve">. Prior expressions counted negation evidence (</w:t>
      </w:r>
      <w:r>
        <w:rPr>
          <w:rStyle w:val="VerbatimChar"/>
        </w:rPr>
        <w:t xml:space="preserve">finding_status = 'absent'</w:t>
      </w:r>
      <w:r>
        <w:t xml:space="preserve">) as confirmation; the corrected expression reduces the cohort-wide</w:t>
      </w:r>
      <w:r>
        <w:t xml:space="preserve"> </w:t>
      </w:r>
      <w:r>
        <w:rPr>
          <w:rStyle w:val="VerbatimChar"/>
        </w:rPr>
        <w:t xml:space="preserve">any_confirmed_complication_flag</w:t>
      </w:r>
      <w:r>
        <w:t xml:space="preserve"> </w:t>
      </w:r>
      <w:r>
        <w:t xml:space="preserve">count from 2,490 to 400. All complication numbers in this manuscript reflect the post-mig_252 strict definition.</w:t>
      </w:r>
    </w:p>
    <w:bookmarkEnd w:id="10"/>
    <w:bookmarkStart w:id="11" w:name="X55e8a41cfe0cad979adcef11b6d4d133d1afa59"/>
    <w:p>
      <w:pPr>
        <w:pStyle w:val="Heading3"/>
      </w:pPr>
      <w:r>
        <w:t xml:space="preserve">S.M.3 Hypoparathyroidism transient/permanent split (standing rule)</w:t>
      </w:r>
    </w:p>
    <w:p>
      <w:pPr>
        <w:pStyle w:val="FirstParagraph"/>
      </w:pPr>
      <w:r>
        <w:t xml:space="preserve">Per the standing rule</w:t>
      </w:r>
      <w:r>
        <w:t xml:space="preserve"> </w:t>
      </w:r>
      <w:r>
        <w:rPr>
          <w:rStyle w:val="VerbatimChar"/>
        </w:rPr>
        <w:t xml:space="preserve">memory/feedback_complications_transient_vs_permanent.md</w:t>
      </w:r>
      <w:r>
        <w:t xml:space="preserve"> </w:t>
      </w:r>
      <w:r>
        <w:t xml:space="preserve">(set 2026-05-01), hypoparathyroidism is reported as two distinct rows: postop transient (&lt;6 months) and postop permanent (&gt;6 months). The classification uses the</w:t>
      </w:r>
      <w:r>
        <w:t xml:space="preserve"> </w:t>
      </w:r>
      <w:r>
        <w:rPr>
          <w:rStyle w:val="VerbatimChar"/>
        </w:rPr>
        <w:t xml:space="preserve">comp_hypoparathyroidism_transient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comp_hypoparathyroidism_permanent</w:t>
      </w:r>
      <w:r>
        <w:t xml:space="preserve"> </w:t>
      </w:r>
      <w:r>
        <w:t xml:space="preserve">BOOLEANs on</w:t>
      </w:r>
      <w:r>
        <w:t xml:space="preserve"> </w:t>
      </w:r>
      <w:r>
        <w:rPr>
          <w:rStyle w:val="VerbatimChar"/>
        </w:rPr>
        <w:t xml:space="preserve">canonical_patient_master</w:t>
      </w:r>
      <w:r>
        <w:t xml:space="preserve">. Cohort-wide validation: 296 confirmed → 280 transient (94.6%) + 16 permanent (5.4%); zero unclassified. M038-specific: massive 83 transient + 4 permanent = 87 confirmed; non-massive 197 + 12 = 209 confirmed.</w:t>
      </w:r>
    </w:p>
    <w:p>
      <w:pPr>
        <w:pStyle w:val="BodyText"/>
      </w:pPr>
      <w:r>
        <w:t xml:space="preserve">The trans/perm classification leans on supporting signals (treatment requirement, biochem persistence, NSQIP recovered_flag) where pure timing data is absent: 87% of confirmed cases have</w:t>
      </w:r>
      <w:r>
        <w:t xml:space="preserve"> </w:t>
      </w:r>
      <w:r>
        <w:rPr>
          <w:rStyle w:val="VerbatimChar"/>
        </w:rPr>
        <w:t xml:space="preserve">timing_window = 'unknown'</w:t>
      </w:r>
      <w:r>
        <w:t xml:space="preserve">. 14 confirmed cases cohort-wide carry an explicit</w:t>
      </w:r>
      <w:r>
        <w:t xml:space="preserve"> </w:t>
      </w:r>
      <w:r>
        <w:rPr>
          <w:rStyle w:val="VerbatimChar"/>
        </w:rPr>
        <w:t xml:space="preserve">comp_hypopara_permanent_limitation_note</w:t>
      </w:r>
      <w:r>
        <w:t xml:space="preserve"> </w:t>
      </w:r>
      <w:r>
        <w:t xml:space="preserve">(see Supp S5 in</w:t>
      </w:r>
      <w:r>
        <w:t xml:space="preserve"> </w:t>
      </w:r>
      <w:r>
        <w:rPr>
          <w:rStyle w:val="VerbatimChar"/>
        </w:rPr>
        <w:t xml:space="preserve">04_tables.xlsx</w:t>
      </w:r>
      <w:r>
        <w:t xml:space="preserve">).</w:t>
      </w:r>
    </w:p>
    <w:bookmarkEnd w:id="11"/>
    <w:bookmarkStart w:id="12" w:name="s.m.4-hypocalcemia-present-preop-flag"/>
    <w:p>
      <w:pPr>
        <w:pStyle w:val="Heading3"/>
      </w:pPr>
      <w:r>
        <w:t xml:space="preserve">S.M.4 Hypocalcemia present-preop flag</w:t>
      </w:r>
    </w:p>
    <w:p>
      <w:pPr>
        <w:pStyle w:val="FirstParagraph"/>
      </w:pPr>
      <w:r>
        <w:t xml:space="preserve">Per the same standing rule, hypocalcemia adds a</w:t>
      </w:r>
      <w:r>
        <w:t xml:space="preserve"> </w:t>
      </w:r>
      <w:r>
        <w:t xml:space="preserve">“present preop”</w:t>
      </w:r>
      <w:r>
        <w:t xml:space="preserve"> </w:t>
      </w:r>
      <w:r>
        <w:t xml:space="preserve">flag row using</w:t>
      </w:r>
      <w:r>
        <w:t xml:space="preserve"> </w:t>
      </w:r>
      <w:r>
        <w:rPr>
          <w:rStyle w:val="VerbatimChar"/>
        </w:rPr>
        <w:t xml:space="preserve">comp_hypocalcemia_timing_window = 'pre_surgery'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comp_hypocalcemia_clinical_preexisting = TRUE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_clinical_preexisting</w:t>
      </w:r>
      <w:r>
        <w:t xml:space="preserve"> </w:t>
      </w:r>
      <w:r>
        <w:t xml:space="preserve">BOOLEAN was empty in the M038 cohort; the</w:t>
      </w:r>
      <w:r>
        <w:t xml:space="preserve"> </w:t>
      </w:r>
      <w:r>
        <w:rPr>
          <w:rStyle w:val="VerbatimChar"/>
        </w:rPr>
        <w:t xml:space="preserve">timing_window = 'pre_surgery'</w:t>
      </w:r>
      <w:r>
        <w:t xml:space="preserve"> </w:t>
      </w:r>
      <w:r>
        <w:t xml:space="preserve">value is the broader and more reliable preop signal (massive 7, non-massive 46).</w:t>
      </w:r>
    </w:p>
    <w:bookmarkEnd w:id="12"/>
    <w:bookmarkStart w:id="13" w:name="X56f0147e44e660d5904d8e3e746c22c109ca682"/>
    <w:p>
      <w:pPr>
        <w:pStyle w:val="Heading3"/>
      </w:pPr>
      <w:r>
        <w:t xml:space="preserve">S.M.5 RLN injury and VC paralysis preop status — encoding gap</w:t>
      </w:r>
    </w:p>
    <w:p>
      <w:pPr>
        <w:pStyle w:val="FirstParagraph"/>
      </w:pPr>
      <w:r>
        <w:t xml:space="preserve">The standing rule also calls for present-preop flag rows for RLN injury and VC paralysis. The current</w:t>
      </w:r>
      <w:r>
        <w:t xml:space="preserve"> </w:t>
      </w:r>
      <w:r>
        <w:rPr>
          <w:rStyle w:val="VerbatimChar"/>
        </w:rPr>
        <w:t xml:space="preserve">canonical_patient_master</w:t>
      </w:r>
      <w:r>
        <w:t xml:space="preserve"> </w:t>
      </w:r>
      <w:r>
        <w:t xml:space="preserve">does not encode these as structured columns:</w:t>
      </w:r>
      <w:r>
        <w:t xml:space="preserve"> </w:t>
      </w:r>
      <w:r>
        <w:rPr>
          <w:rStyle w:val="VerbatimChar"/>
        </w:rPr>
        <w:t xml:space="preserve">rln_temporality</w:t>
      </w:r>
      <w:r>
        <w:t xml:space="preserve"> </w:t>
      </w:r>
      <w:r>
        <w:t xml:space="preserve">is NULL for all M038 confirmed cases;</w:t>
      </w:r>
      <w:r>
        <w:t xml:space="preserve"> </w:t>
      </w:r>
      <w:r>
        <w:rPr>
          <w:rStyle w:val="VerbatimChar"/>
        </w:rPr>
        <w:t xml:space="preserve">comp_vc_paralysis_timing_window</w:t>
      </w:r>
      <w:r>
        <w:t xml:space="preserve"> </w:t>
      </w:r>
      <w:r>
        <w:t xml:space="preserve">lacks a</w:t>
      </w:r>
      <w:r>
        <w:t xml:space="preserve"> </w:t>
      </w:r>
      <w:r>
        <w:rPr>
          <w:rStyle w:val="VerbatimChar"/>
        </w:rPr>
        <w:t xml:space="preserve">pre_surgery</w:t>
      </w:r>
      <w:r>
        <w:t xml:space="preserve"> </w:t>
      </w:r>
      <w:r>
        <w:t xml:space="preserve">bucket;</w:t>
      </w:r>
      <w:r>
        <w:t xml:space="preserve"> </w:t>
      </w:r>
      <w:r>
        <w:rPr>
          <w:rStyle w:val="VerbatimChar"/>
        </w:rPr>
        <w:t xml:space="preserve">ops_preop_laryngoscopy</w:t>
      </w:r>
      <w:r>
        <w:t xml:space="preserve"> </w:t>
      </w:r>
      <w:r>
        <w:t xml:space="preserve">is free-text without structured paralysis indication. Carry-forwards</w:t>
      </w:r>
      <w:r>
        <w:t xml:space="preserve"> </w:t>
      </w:r>
      <w:r>
        <w:rPr>
          <w:rStyle w:val="VerbatimChar"/>
        </w:rPr>
        <w:t xml:space="preserve">CF-RLN-PREOP-FLAG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CF-VC-PARALYSIS-PREOP-FLAG</w:t>
      </w:r>
      <w:r>
        <w:t xml:space="preserve"> </w:t>
      </w:r>
      <w:r>
        <w:t xml:space="preserve">are open to extract these via NLP. Until they close, the manuscript reports postop confirmed counts only with the † footnote.</w:t>
      </w:r>
    </w:p>
    <w:bookmarkEnd w:id="13"/>
    <w:bookmarkStart w:id="14" w:name="s.m.6-era-binning-rule"/>
    <w:p>
      <w:pPr>
        <w:pStyle w:val="Heading3"/>
      </w:pPr>
      <w:r>
        <w:t xml:space="preserve">S.M.6 Era binning rule</w:t>
      </w:r>
    </w:p>
    <w:p>
      <w:pPr>
        <w:pStyle w:val="FirstParagraph"/>
      </w:pPr>
      <w:r>
        <w:t xml:space="preserve">Era stratification (§3.6) bins</w:t>
      </w:r>
      <w:r>
        <w:t xml:space="preserve"> </w:t>
      </w:r>
      <w:r>
        <w:rPr>
          <w:rStyle w:val="VerbatimChar"/>
        </w:rPr>
        <w:t xml:space="preserve">surg_first_date</w:t>
      </w:r>
      <w:r>
        <w:t xml:space="preserve"> </w:t>
      </w:r>
      <w:r>
        <w:t xml:space="preserve">using upper-bound rules:</w:t>
      </w:r>
    </w:p>
    <w:p>
      <w:pPr>
        <w:pStyle w:val="SourceCode"/>
      </w:pPr>
      <w:r>
        <w:rPr>
          <w:rStyle w:val="VerbatimChar"/>
        </w:rPr>
        <w:t xml:space="preserve">1999–2004 = surg_first_date &lt;= '2004-12-31'  (sweeps 2 pre-1999 dates)</w:t>
      </w:r>
      <w:r>
        <w:br/>
      </w:r>
      <w:r>
        <w:rPr>
          <w:rStyle w:val="VerbatimChar"/>
        </w:rPr>
        <w:t xml:space="preserve">2005–2009 = '2005-01-01' to '2009-12-31'</w:t>
      </w:r>
      <w:r>
        <w:br/>
      </w:r>
      <w:r>
        <w:rPr>
          <w:rStyle w:val="VerbatimChar"/>
        </w:rPr>
        <w:t xml:space="preserve">2010–2014 = '2010-01-01' to '2014-12-31'</w:t>
      </w:r>
      <w:r>
        <w:br/>
      </w:r>
      <w:r>
        <w:rPr>
          <w:rStyle w:val="VerbatimChar"/>
        </w:rPr>
        <w:t xml:space="preserve">2015–2019 = '2015-01-01' to '2019-12-31'</w:t>
      </w:r>
      <w:r>
        <w:br/>
      </w:r>
      <w:r>
        <w:rPr>
          <w:rStyle w:val="VerbatimChar"/>
        </w:rPr>
        <w:t xml:space="preserve">2020–2025 = '2020-01-01' to '2025-12-31'</w:t>
      </w:r>
      <w:r>
        <w:br/>
      </w:r>
      <w:r>
        <w:rPr>
          <w:rStyle w:val="VerbatimChar"/>
        </w:rPr>
        <w:t xml:space="preserve">unknown   = surg_first_date IS NULL</w:t>
      </w:r>
    </w:p>
    <w:p>
      <w:pPr>
        <w:pStyle w:val="FirstParagraph"/>
      </w:pPr>
      <w:r>
        <w:t xml:space="preserve">The 2 pre-1999 dates (1945-07-13 and 1993-04-01) are swept into the first bucket via the upper-bound rule, matching the manuscript’s §3.6 totals (1999–2004 = 903) and §3.2 era distribution.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upplementary-results"/>
    <w:p>
      <w:pPr>
        <w:pStyle w:val="Heading2"/>
      </w:pPr>
      <w:r>
        <w:t xml:space="preserve">Supplementary Results</w:t>
      </w:r>
    </w:p>
    <w:bookmarkStart w:id="16" w:name="X0239fbe37bd0680d3ec47527e50312e402eccc7"/>
    <w:p>
      <w:pPr>
        <w:pStyle w:val="Heading3"/>
      </w:pPr>
      <w:r>
        <w:t xml:space="preserve">S.R.1 Component coverage by era (drives the era-rise narrative)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04_tables.xlsx</w:t>
      </w:r>
      <w:r>
        <w:t xml:space="preserve"> </w:t>
      </w:r>
      <w:r>
        <w:t xml:space="preserve">tab</w:t>
      </w:r>
      <w:r>
        <w:t xml:space="preserve"> </w:t>
      </w:r>
      <w:r>
        <w:rPr>
          <w:rStyle w:val="VerbatimChar"/>
        </w:rPr>
        <w:t xml:space="preserve">Supp S2 — Coverage</w:t>
      </w:r>
      <w:r>
        <w:t xml:space="preserve"> </w:t>
      </w:r>
      <w:r>
        <w:t xml:space="preserve">and Figure 4. Briefly:</w:t>
      </w:r>
    </w:p>
    <w:p>
      <w:pPr>
        <w:pStyle w:val="Compact"/>
        <w:numPr>
          <w:ilvl w:val="0"/>
          <w:numId w:val="1002"/>
        </w:numPr>
      </w:pPr>
      <w:r>
        <w:t xml:space="preserve">Pre-2010 CT/MRI documentation is essentially absent (&lt;3% of cohort).</w:t>
      </w:r>
    </w:p>
    <w:p>
      <w:pPr>
        <w:pStyle w:val="Compact"/>
        <w:numPr>
          <w:ilvl w:val="0"/>
          <w:numId w:val="1002"/>
        </w:numPr>
      </w:pPr>
      <w:r>
        <w:t xml:space="preserve">The 2010–2014 era sees CT substernal extraction at ~2% of cohort; airway-component flags at ~6%.</w:t>
      </w:r>
    </w:p>
    <w:p>
      <w:pPr>
        <w:pStyle w:val="Compact"/>
        <w:numPr>
          <w:ilvl w:val="0"/>
          <w:numId w:val="1002"/>
        </w:numPr>
      </w:pPr>
      <w:r>
        <w:t xml:space="preserve">The 2015–2019 era jumps sharply (CT substernal 19%, airway 30%) reflecting the institutional NLP airway pipeline rollout.</w:t>
      </w:r>
    </w:p>
    <w:p>
      <w:pPr>
        <w:pStyle w:val="Compact"/>
        <w:numPr>
          <w:ilvl w:val="0"/>
          <w:numId w:val="1002"/>
        </w:numPr>
      </w:pPr>
      <w:r>
        <w:t xml:space="preserve">The 2020–2025 era continues at similar coverage (CT substernal 25%, airway 43%).</w:t>
      </w:r>
    </w:p>
    <w:p>
      <w:pPr>
        <w:pStyle w:val="FirstParagraph"/>
      </w:pPr>
      <w:r>
        <w:t xml:space="preserve">This pattern is the dominant driver of the post-2015 prevalence rise in measured massive-goiter flag (12% pre-2015 → 24.9–28.5% post-2015) and is explicitly discussed as a limitation in the main manuscript §5.</w:t>
      </w:r>
    </w:p>
    <w:bookmarkEnd w:id="16"/>
    <w:bookmarkStart w:id="17" w:name="Xc6b828350cf4eaf111a487b9d66ddaa16579b22"/>
    <w:p>
      <w:pPr>
        <w:pStyle w:val="Heading3"/>
      </w:pPr>
      <w:r>
        <w:t xml:space="preserve">S.R.2 Hypoparathyroidism permanence-classification limitation notes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04_tables.xlsx</w:t>
      </w:r>
      <w:r>
        <w:t xml:space="preserve"> </w:t>
      </w:r>
      <w:r>
        <w:t xml:space="preserve">tab</w:t>
      </w:r>
      <w:r>
        <w:t xml:space="preserve"> </w:t>
      </w:r>
      <w:r>
        <w:rPr>
          <w:rStyle w:val="VerbatimChar"/>
        </w:rPr>
        <w:t xml:space="preserve">Supp S5 — Hypopara limitations</w:t>
      </w:r>
      <w:r>
        <w:t xml:space="preserve">. Of 296 cohort-wide confirmed cases, 14 carry a</w:t>
      </w:r>
      <w:r>
        <w:t xml:space="preserve"> </w:t>
      </w:r>
      <w:r>
        <w:rPr>
          <w:rStyle w:val="VerbatimChar"/>
        </w:rPr>
        <w:t xml:space="preserve">comp_hypopara_permanent_limitation_note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6 cases:</w:t>
      </w:r>
      <w:r>
        <w:t xml:space="preserve"> </w:t>
      </w:r>
      <w:r>
        <w:rPr>
          <w:rStyle w:val="VerbatimChar"/>
        </w:rPr>
        <w:t xml:space="preserve">followup_too_short_for_permanence_classification</w:t>
      </w:r>
      <w:r>
        <w:t xml:space="preserve"> </w:t>
      </w:r>
      <w:r>
        <w:t xml:space="preserve">(FU &lt;180 days; permanence cannot be determined).</w:t>
      </w:r>
    </w:p>
    <w:p>
      <w:pPr>
        <w:pStyle w:val="Compact"/>
        <w:numPr>
          <w:ilvl w:val="0"/>
          <w:numId w:val="1003"/>
        </w:numPr>
      </w:pPr>
      <w:r>
        <w:t xml:space="preserve">5 cases:</w:t>
      </w:r>
      <w:r>
        <w:t xml:space="preserve"> </w:t>
      </w:r>
      <w:r>
        <w:rPr>
          <w:rStyle w:val="VerbatimChar"/>
        </w:rPr>
        <w:t xml:space="preserve">reset_20260417:confirmed_duration_unknown</w:t>
      </w:r>
      <w:r>
        <w:t xml:space="preserve"> </w:t>
      </w:r>
      <w:r>
        <w:t xml:space="preserve">(post-reset case; pre-reset duration data lost).</w:t>
      </w:r>
    </w:p>
    <w:p>
      <w:pPr>
        <w:pStyle w:val="Compact"/>
        <w:numPr>
          <w:ilvl w:val="0"/>
          <w:numId w:val="1003"/>
        </w:numPr>
      </w:pPr>
      <w:r>
        <w:t xml:space="preserve">3 cases:</w:t>
      </w:r>
      <w:r>
        <w:t xml:space="preserve"> </w:t>
      </w:r>
      <w:r>
        <w:rPr>
          <w:rStyle w:val="VerbatimChar"/>
        </w:rPr>
        <w:t xml:space="preserve">confirmed_hypopara_no_persistent_biochem_evidence_followup_gt_6mo</w:t>
      </w:r>
      <w:r>
        <w:t xml:space="preserve"> </w:t>
      </w:r>
      <w:r>
        <w:t xml:space="preserve">(FU &gt;6mo but no persistent biochem evidence; leans transient).</w:t>
      </w:r>
    </w:p>
    <w:p>
      <w:pPr>
        <w:pStyle w:val="FirstParagraph"/>
      </w:pPr>
      <w:r>
        <w:t xml:space="preserve">These cases are still classified into transient/permanent via supporting signals (treatment requirement, biochem persistence, NSQIP recovered_flag); the limitation note is informational and does not alter the assignment.</w:t>
      </w:r>
    </w:p>
    <w:bookmarkEnd w:id="17"/>
    <w:bookmarkStart w:id="18" w:name="X08cd1697fbbb6be51c39909380bf154836b16e2"/>
    <w:p>
      <w:pPr>
        <w:pStyle w:val="Heading3"/>
      </w:pPr>
      <w:r>
        <w:t xml:space="preserve">S.R.3 Sensitivity analysis: weight-only ≥200g focal cohort (n=475)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04_tables.xlsx</w:t>
      </w:r>
      <w:r>
        <w:t xml:space="preserve"> </w:t>
      </w:r>
      <w:r>
        <w:t xml:space="preserve">tab</w:t>
      </w:r>
      <w:r>
        <w:t xml:space="preserve"> </w:t>
      </w:r>
      <w:r>
        <w:rPr>
          <w:rStyle w:val="VerbatimChar"/>
        </w:rPr>
        <w:t xml:space="preserve">Supp S6 — Sensitivity ≥200g</w:t>
      </w:r>
      <w:r>
        <w:t xml:space="preserve">. For the focal</w:t>
      </w:r>
      <w:r>
        <w:t xml:space="preserve"> </w:t>
      </w:r>
      <w:r>
        <w:t xml:space="preserve">“very massive”</w:t>
      </w:r>
      <w:r>
        <w:t xml:space="preserve"> </w:t>
      </w:r>
      <w:r>
        <w:t xml:space="preserve">cohort (gland_weight_final_g ≥200g; n=475):</w:t>
      </w:r>
    </w:p>
    <w:p>
      <w:pPr>
        <w:pStyle w:val="Compact"/>
        <w:numPr>
          <w:ilvl w:val="0"/>
          <w:numId w:val="1004"/>
        </w:numPr>
      </w:pPr>
      <w:r>
        <w:t xml:space="preserve">Any confirmed complication: 10/475 = 2.10%</w:t>
      </w:r>
    </w:p>
    <w:p>
      <w:pPr>
        <w:pStyle w:val="Compact"/>
        <w:numPr>
          <w:ilvl w:val="0"/>
          <w:numId w:val="1004"/>
        </w:numPr>
      </w:pPr>
      <w:r>
        <w:t xml:space="preserve">Hypoparathyroidism — postop transient: 7/475 = 1.47%</w:t>
      </w:r>
    </w:p>
    <w:p>
      <w:pPr>
        <w:pStyle w:val="Compact"/>
        <w:numPr>
          <w:ilvl w:val="0"/>
          <w:numId w:val="1004"/>
        </w:numPr>
      </w:pPr>
      <w:r>
        <w:t xml:space="preserve">Hypoparathyroidism — postop permanent: 0</w:t>
      </w:r>
    </w:p>
    <w:p>
      <w:pPr>
        <w:pStyle w:val="Compact"/>
        <w:numPr>
          <w:ilvl w:val="0"/>
          <w:numId w:val="1004"/>
        </w:numPr>
      </w:pPr>
      <w:r>
        <w:t xml:space="preserve">Confirmed RLN injury (postop): 2/475 = 0.42%</w:t>
      </w:r>
    </w:p>
    <w:p>
      <w:pPr>
        <w:pStyle w:val="Compact"/>
        <w:numPr>
          <w:ilvl w:val="0"/>
          <w:numId w:val="1004"/>
        </w:numPr>
      </w:pPr>
      <w:r>
        <w:t xml:space="preserve">Confirmed VC paralysis (postop): 2/475 = 0.42%</w:t>
      </w:r>
    </w:p>
    <w:p>
      <w:pPr>
        <w:pStyle w:val="FirstParagraph"/>
      </w:pPr>
      <w:r>
        <w:t xml:space="preserve">Note: this focal subset has small absolute event counts and serves as a sensitivity benchmark for the composite definition rather than an inferential analysis. Companion manuscript M038-B (definition paper, in planning) will compare ≥100g, ≥200g, substernal, and airway exposures head-to-head in a unified interaction model.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pplementary-tables-in-04_tables.xlsx"/>
    <w:p>
      <w:pPr>
        <w:pStyle w:val="Heading2"/>
      </w:pPr>
      <w:r>
        <w:t xml:space="preserve">Supplementary Tables (in</w:t>
      </w:r>
      <w:r>
        <w:t xml:space="preserve"> </w:t>
      </w:r>
      <w:r>
        <w:rPr>
          <w:rStyle w:val="VerbatimChar"/>
        </w:rPr>
        <w:t xml:space="preserve">04_tables.xlsx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S1</w:t>
      </w:r>
      <w:r>
        <w:t xml:space="preserve"> </w:t>
      </w:r>
      <w:r>
        <w:t xml:space="preserve">— Cohort assembly + inclusion-exclusion check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S2</w:t>
      </w:r>
      <w:r>
        <w:t xml:space="preserve"> </w:t>
      </w:r>
      <w:r>
        <w:t xml:space="preserve">— Component coverage by era × arm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S3</w:t>
      </w:r>
      <w:r>
        <w:t xml:space="preserve"> </w:t>
      </w:r>
      <w:r>
        <w:t xml:space="preserve">— Race detail (full 9-bucket breakdown)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S4</w:t>
      </w:r>
      <w:r>
        <w:t xml:space="preserve"> </w:t>
      </w:r>
      <w:r>
        <w:t xml:space="preserve">— ASA detail (NSQIP-linked subset)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S5</w:t>
      </w:r>
      <w:r>
        <w:t xml:space="preserve"> </w:t>
      </w:r>
      <w:r>
        <w:t xml:space="preserve">— Hypopara permanence-classification limitation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 S6</w:t>
      </w:r>
      <w:r>
        <w:t xml:space="preserve"> </w:t>
      </w:r>
      <w:r>
        <w:t xml:space="preserve">— Sensitivity ≥200g focal cohort</w:t>
      </w:r>
    </w:p>
    <w:p>
      <w:r>
        <w:pict>
          <v:rect style="width:0;height:1.5pt" o:hralign="center" o:hrstd="t" o:hr="t"/>
        </w:pict>
      </w:r>
    </w:p>
    <w:bookmarkEnd w:id="20"/>
    <w:bookmarkEnd w:id="21"/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cs="Arial" w:eastAsia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2026-05-01T13:21:47Z</dcterms:created>
  <dcterms:modified xsi:type="dcterms:W3CDTF">2026-05-01T13:21:47Z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