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4" w:after="68"/>
      </w:pPr>
      <w:r>
        <w:rPr>
          <w:b/>
          <w:color w:val="1E293B"/>
          <w:sz w:val="34"/>
        </w:rPr>
        <w:t>Ryan Leite Albuquerque</w:t>
      </w:r>
    </w:p>
    <w:p>
      <w:pPr>
        <w:spacing w:before="0" w:after="34"/>
      </w:pPr>
      <w:r>
        <w:rPr>
          <w:color w:val="2563EB"/>
          <w:sz w:val="20"/>
        </w:rPr>
        <w:t>Engenheiro de Software Sênior</w:t>
      </w:r>
    </w:p>
    <w:p>
      <w:pPr>
        <w:spacing w:before="0" w:after="68"/>
      </w:pPr>
      <w:r>
        <w:rPr>
          <w:color w:val="64748B"/>
          <w:sz w:val="15"/>
        </w:rPr>
        <w:t>ryan.leite@gmail.com | +55 81 98255-0011 | Fortaleza, Ceará, BR | linkedin.com/in/ryalb</w:t>
      </w:r>
    </w:p>
    <w:p>
      <w:pPr>
        <w:spacing w:after="102"/>
      </w:pPr>
      <w:r>
        <w:rPr>
          <w:color w:val="1E293B"/>
          <w:sz w:val="17"/>
        </w:rPr>
        <w:t>Engenheiro backend sênior, 26 anos em produção. Co-responsável por uma plataforma de ML em produção para triagem automática de issues e detecção de duplicatas — FastAPI sobre Kafka, busca vetorial com Milvus e Snowflake em Kubernetes/AWS EKS — e entrega plataformas internas sozinho, do modelo de dados à implantação: onboarding de times (Django/GraphQL/Celery), uma plataforma de métricas de engenharia com nove dashboards alimentados pela CI e ferramentas de desenvolvimento com IA sobre o Claude Agent SDK e o MCP. Sistemas em produção em Java, C, PHP, Ruby e Python. Antes, liderou uma equipe de 10 engenheiros em uma avaliação CMMI Nível 3 como avaliador SCAMPI treinado. Mestre em Ciência da Computação (Inteligência Artificial).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Experiência Profissional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Backend Sênior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2026-01 – Presente</w:t>
      </w:r>
    </w:p>
    <w:p>
      <w:pPr>
        <w:spacing w:before="34" w:after="34"/>
        <w:ind w:left="144"/>
      </w:pPr>
      <w:r>
        <w:rPr>
          <w:color w:val="1E293B"/>
          <w:sz w:val="16"/>
        </w:rPr>
        <w:t>Engenharia de backend e de plataforma para sistemas de produtividade baseados em ML: co-responsabilidade por uma plataforma de ML em produção, quatro plataformas e apps internos construídos sozinho, ferramentas com IA/LLM e programas de qualidade em cinco repositórios.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sozinho uma plataforma de onboarding de times (Django 6, GraphQL, Celery, Kubernetes) que substituiu um processo manual de nove etapas.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sozinho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Criei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Entreguei sozinho dois apps de tempo real: planning poker com WebSockets em Django Channels, e retrospectivas em GraphQL com máquina de estados de seis fases.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Elevei a cobertura de testes em cinco repositórios, adicionando milhares de testes e integrando o relatório de cobertura à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Padronizei o toolchain Python nos mesmos cinco repositórios: Poetry para uv, pre-commit para prek, além de gates de ruff e de tipos.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Backend Sênior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2022-10 – 2025-12</w:t>
      </w:r>
    </w:p>
    <w:p>
      <w:pPr>
        <w:spacing w:before="34" w:after="34"/>
        <w:ind w:left="144"/>
      </w:pPr>
      <w:r>
        <w:rPr>
          <w:color w:val="1E293B"/>
          <w:sz w:val="16"/>
        </w:rPr>
        <w:t>Serviços de backend em Python para duas plataformas web simultâneas, padronizados em contratos JSON:API, com responsabilidade de ponta a ponta pela esteira de CI/CD e gates automatizados de qualidade.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e mantive serviços de backend para duas plataformas web simultâneas em Python (Django e Flask).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Fui responsável pela esteira de CI/CD de ponta a ponta nas duas plataformas (Docker, Git/GitFlow, Jenkins) — build, teste e implantação automatizados, com gates de formatação, análise estática e testes aplicados na CI.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Full-Stack Sênior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2013-06 – 2022-09</w:t>
      </w:r>
    </w:p>
    <w:p>
      <w:pPr>
        <w:spacing w:before="34" w:after="34"/>
        <w:ind w:left="144"/>
      </w:pPr>
      <w:r>
        <w:rPr>
          <w:color w:val="1E293B"/>
          <w:sz w:val="16"/>
        </w:rPr>
        <w:t>Nove anos em quatro projetos de clientes: quatro aplicações web em produção em quatro stacks de linguagem, os ambientes de CI/CD por trás delas e a direção técnica das equipes Scrum.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Entreguei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Conduzi a direção técnica de equipes Scrum, liderando planejamento de sprints, práticas de code review e compromissos de entrega.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Full-Stack Sênior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2009-01 – 2013-06</w:t>
      </w:r>
    </w:p>
    <w:p>
      <w:pPr>
        <w:spacing w:before="34" w:after="34"/>
        <w:ind w:left="144"/>
      </w:pPr>
      <w:r>
        <w:rPr>
          <w:color w:val="1E293B"/>
          <w:sz w:val="16"/>
        </w:rPr>
        <w:t>Telefonia em C sobre o Asterisk, uma aplicação corporativa web e mobile em Java de ponta a ponta, e as ferramentas de CI/CD e de Scrum por trás delas — além de uma plataforma nacional mantida com tráfego ativo.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plataforma de telefonia em C sobre o Asterisk, cobrindo a lógica de fluxo de chamadas e integrações.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Mantive uma plataforma web de abrangência nacional em produção, entregando novas funcionalidades com tráfego ativo.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Sênior de Gerência de Configuração de Software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2005-01 – 2009-01</w:t>
      </w:r>
    </w:p>
    <w:p>
      <w:pPr>
        <w:spacing w:before="34" w:after="34"/>
        <w:ind w:left="144"/>
      </w:pPr>
      <w:r>
        <w:rPr>
          <w:color w:val="1E293B"/>
          <w:sz w:val="16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Gerência de Configuração de Software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2001-10 – 2005-01</w:t>
      </w:r>
    </w:p>
    <w:p>
      <w:pPr>
        <w:spacing w:before="34" w:after="34"/>
        <w:ind w:left="144"/>
      </w:pPr>
      <w:r>
        <w:rPr>
          <w:color w:val="1E293B"/>
          <w:sz w:val="16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Júnior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2001-01 – 2001-10</w:t>
      </w:r>
    </w:p>
    <w:p>
      <w:pPr>
        <w:spacing w:before="34" w:after="34"/>
        <w:ind w:left="144"/>
      </w:pPr>
      <w:r>
        <w:rPr>
          <w:color w:val="1E293B"/>
          <w:sz w:val="16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mais de 15 aplicações móveis, principalmente jogos, para os primeiros aparelhos com suporte a Java.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Escrevi o Sea Hunter, premiado como Melhor Aplicação das Américas no Asia Java Mobile Challenge.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Júnior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2000-06 – 2000-12</w:t>
      </w:r>
    </w:p>
    <w:p>
      <w:pPr>
        <w:spacing w:before="34" w:after="34"/>
        <w:ind w:left="144"/>
      </w:pPr>
      <w:r>
        <w:rPr>
          <w:color w:val="1E293B"/>
          <w:sz w:val="16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aplicação WAP em J2SE para gestão de jogos lotéricos.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um portal de e-commerce utilizado para validar a pesquisa de dissertação de mestrado de um integrante da equipe.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Formação Acadêmica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Mestrado in Ciência da Computação</w:t>
      </w:r>
      <w:r>
        <w:rPr>
          <w:color w:val="64748B"/>
          <w:sz w:val="17"/>
        </w:rPr>
        <w:t xml:space="preserve">  Universidade Federal de Pernambuco (UFPE)</w:t>
      </w:r>
      <w:r>
        <w:rPr>
          <w:i/>
          <w:color w:val="64748B"/>
          <w:sz w:val="15"/>
        </w:rPr>
        <w:tab/>
        <w:t>2000-03 – 2002-08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Inteligência Artificial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Sistemas Multiagentes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Engenharia de Software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Bacharelado in Ciência da Computação</w:t>
      </w:r>
      <w:r>
        <w:rPr>
          <w:color w:val="64748B"/>
          <w:sz w:val="17"/>
        </w:rPr>
        <w:t xml:space="preserve">  Universidade Federal do Ceará (UFC)</w:t>
      </w:r>
      <w:r>
        <w:rPr>
          <w:i/>
          <w:color w:val="64748B"/>
          <w:sz w:val="15"/>
        </w:rPr>
        <w:tab/>
        <w:t>1996-01 – 2000-01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Competências</w:t>
      </w:r>
    </w:p>
    <w:p>
      <w:pPr>
        <w:spacing w:before="34" w:after="34"/>
      </w:pPr>
      <w:r>
        <w:rPr>
          <w:b/>
          <w:sz w:val="17"/>
        </w:rPr>
        <w:t>Backend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Python, Django, FastAPI, Flask, Falcon, GraphQL, Strawberry GraphQL, REST API, JSON:API, Celery, Kafka, WebSockets, PHP, Yii, Laravel, Ruby on Rails, Java, C</w:t>
      </w:r>
    </w:p>
    <w:p>
      <w:pPr>
        <w:spacing w:before="34" w:after="34"/>
      </w:pPr>
      <w:r>
        <w:rPr>
          <w:b/>
          <w:sz w:val="17"/>
        </w:rPr>
        <w:t>Frontend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JavaScript, TypeScript, VueJS, NuxtJS, PrimeVue, Tailwind CSS, Pinia, EmberJS, Backbone/Marionette, HTML, CSS, SCSS/SASS, BEM</w:t>
      </w:r>
    </w:p>
    <w:p>
      <w:pPr>
        <w:spacing w:before="34" w:after="34"/>
      </w:pPr>
      <w:r>
        <w:rPr>
          <w:b/>
          <w:sz w:val="17"/>
        </w:rPr>
        <w:t>Engenharia de IA e ML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Desenvolvimento de aplicações com LLM, Model Context Protocol (MCP), Claude Agent SDK, Ferramentas agentivas, Busca vetorial, Milvus, Embeddings, Sentence Transformers, PyTorch, Snowflake</w:t>
      </w:r>
    </w:p>
    <w:p>
      <w:pPr>
        <w:spacing w:before="34" w:after="34"/>
      </w:pPr>
      <w:r>
        <w:rPr>
          <w:b/>
          <w:sz w:val="17"/>
        </w:rPr>
        <w:t>DevOps e CI/CD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CI/CD, Jenkins, TeamCity, GitLab CI, Docker, Builds multi-arquitetura, Ansible, HashiCorp Vault, Sealed Secrets, uv, mise, prek, ruff, pytest, Bash, Git, GitFlow, GitHub, GitLab</w:t>
      </w:r>
    </w:p>
    <w:p>
      <w:pPr>
        <w:spacing w:before="34" w:after="34"/>
      </w:pPr>
      <w:r>
        <w:rPr>
          <w:b/>
          <w:sz w:val="17"/>
        </w:rPr>
        <w:t>Cloud e Orquestração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Kubernetes, Helm, Kustomize, AWS EKS, AWS, Google Cloud, mTLS, OAuth 2.0, OpenTelemetry, Sentry</w:t>
      </w:r>
    </w:p>
    <w:p>
      <w:pPr>
        <w:spacing w:before="34" w:after="34"/>
      </w:pPr>
      <w:r>
        <w:rPr>
          <w:b/>
          <w:sz w:val="17"/>
        </w:rPr>
        <w:t>Bancos de Dados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PostgreSQL, MySQL, Oracle, Redis, Milvus, Snowflake</w:t>
      </w:r>
    </w:p>
    <w:p>
      <w:pPr>
        <w:spacing w:before="34" w:after="34"/>
      </w:pPr>
      <w:r>
        <w:rPr>
          <w:b/>
          <w:sz w:val="17"/>
        </w:rPr>
        <w:t>Processos e Liderança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Gerência de Configuração de Software, CMMI, Avaliação SCAMPI, Scrum, Kanban, Liderança Técnica, Code Review, Mentoria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Prêmios</w:t>
      </w:r>
    </w:p>
    <w:p>
      <w:pPr>
        <w:spacing w:before="102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8"/>
          </w:rPr>
          <w:t>Melhor Aplicação das Américas — Sea Hunter</w:t>
        </w:r>
      </w:hyperlink>
      <w:r>
        <w:rPr>
          <w:color w:val="64748B"/>
          <w:sz w:val="17"/>
        </w:rPr>
        <w:t xml:space="preserve">  Asia Java Mobile Challenge (SingTel, Optus e Sun Microsystems)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Certificações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IA para Devs (54h)</w:t>
      </w:r>
      <w:r>
        <w:rPr>
          <w:color w:val="64748B"/>
          <w:sz w:val="17"/>
        </w:rPr>
        <w:t xml:space="preserve">  CESAR School</w:t>
      </w:r>
      <w:r>
        <w:rPr>
          <w:i/>
          <w:color w:val="64748B"/>
          <w:sz w:val="15"/>
        </w:rPr>
        <w:tab/>
        <w:t>2025-08</w:t>
      </w:r>
    </w:p>
    <w:p>
      <w:pPr>
        <w:spacing w:before="102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8"/>
          </w:rPr>
          <w:t>Certified ScrumMaster (CSM)</w:t>
        </w:r>
      </w:hyperlink>
      <w:r>
        <w:rPr>
          <w:color w:val="64748B"/>
          <w:sz w:val="17"/>
        </w:rPr>
        <w:t xml:space="preserve">  Scrum Alliance</w:t>
      </w:r>
      <w:r>
        <w:rPr>
          <w:i/>
          <w:color w:val="64748B"/>
          <w:sz w:val="15"/>
        </w:rPr>
        <w:tab/>
        <w:t>2017-10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Zend PHP Certified Developer</w:t>
      </w:r>
      <w:r>
        <w:rPr>
          <w:color w:val="64748B"/>
          <w:sz w:val="17"/>
        </w:rPr>
        <w:t xml:space="preserve">  Zend Technologies, Ltd.</w:t>
      </w:r>
      <w:r>
        <w:rPr>
          <w:i/>
          <w:color w:val="64748B"/>
          <w:sz w:val="15"/>
        </w:rPr>
        <w:tab/>
        <w:t>2014-10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Publicações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Software Configuration Management Diversity: A Commercial Case Study</w:t>
      </w:r>
      <w:r>
        <w:rPr>
          <w:color w:val="64748B"/>
          <w:sz w:val="17"/>
        </w:rPr>
        <w:t xml:space="preserve">  BCS-CMSG — The CMDB and CMS: the Powerhouse of Service Management</w:t>
      </w:r>
      <w:r>
        <w:rPr>
          <w:i/>
          <w:color w:val="64748B"/>
          <w:sz w:val="15"/>
        </w:rPr>
        <w:tab/>
        <w:t>2008-07</w:t>
      </w:r>
    </w:p>
    <w:p>
      <w:pPr>
        <w:spacing w:before="34" w:after="34"/>
        <w:ind w:left="144"/>
      </w:pPr>
      <w:r>
        <w:rPr>
          <w:color w:val="1E293B"/>
          <w:sz w:val="16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Desenvolvendo o Projeto Conceitual de Jogos Wireless</w:t>
      </w:r>
      <w:r>
        <w:rPr>
          <w:color w:val="64748B"/>
          <w:sz w:val="17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5"/>
        </w:rPr>
        <w:tab/>
        <w:t>2002-10</w:t>
      </w:r>
    </w:p>
    <w:p>
      <w:pPr>
        <w:spacing w:before="34" w:after="34"/>
        <w:ind w:left="144"/>
      </w:pPr>
      <w:r>
        <w:rPr>
          <w:color w:val="1E293B"/>
          <w:sz w:val="16"/>
        </w:rPr>
        <w:t>Quinto de seis autores. Métodos de projeto conceitual para jogos wireless, a partir do trabalho inicial do CESAR com jogos móveis em J2ME.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Embedding J2ME-based Inference Engine in Handheld Devices: The KEOPS Case Study</w:t>
      </w:r>
      <w:r>
        <w:rPr>
          <w:color w:val="64748B"/>
          <w:sz w:val="17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Primeiro autor. Estudo de caso sobre embarcar um motor de inferência em J2ME em dispositivos de mão com recursos restritos.</w:t>
      </w:r>
    </w:p>
    <w:p>
      <w:pPr>
        <w:spacing w:before="102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8"/>
          </w:rPr>
          <w:t>KSACI: A Handheld Device Infrastructure for Agents Communication</w:t>
        </w:r>
      </w:hyperlink>
      <w:r>
        <w:rPr>
          <w:color w:val="64748B"/>
          <w:sz w:val="17"/>
        </w:rPr>
        <w:t xml:space="preserve">  Intelligent Agents VIII (LNAI 2333), ATAL 2001, Seattle, EUA — Springer, p. 423–435</w:t>
      </w:r>
      <w:r>
        <w:rPr>
          <w:i/>
          <w:color w:val="64748B"/>
          <w:sz w:val="15"/>
        </w:rPr>
        <w:tab/>
        <w:t>2001</w:t>
      </w:r>
    </w:p>
    <w:p>
      <w:pPr>
        <w:spacing w:before="34" w:after="34"/>
        <w:ind w:left="144"/>
      </w:pPr>
      <w:r>
        <w:rPr>
          <w:color w:val="1E293B"/>
          <w:sz w:val="16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Idiomas</w:t>
      </w:r>
    </w:p>
    <w:p>
      <w:pPr>
        <w:spacing w:before="34"/>
      </w:pPr>
      <w:r>
        <w:rPr>
          <w:sz w:val="17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Relationship Id="rId11" Type="http://schemas.openxmlformats.org/officeDocument/2006/relationships/hyperlink" Target="https://link.springer.com/chapter/10.1007/3-540-45448-9_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