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Backend and platform engineer, 26 years in production. Co-owns a production ML platform for automated issue triage and duplicate detection — FastAPI over Kafka, Milvus vector search and Snowflake on Kubernetes/AWS EKS — and delivers internal platforms from data model to deploy: team onboarding (Django/GraphQL/Celery), an engineering-metrics platform with nine CI-fed dashboards, and AI developer tooling on the Claude Agent SDK and MCP. Earlier: Python backend services on JSON:API contracts with CI/CD and Sentry ownership, and technical lead for Scrum teams of 6 to 15 engineers.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2026-01 –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two internal platforms and two real-time team apps,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Shared ownership of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Delivered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Delivered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PHP &amp;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Backend services for four concurrent web platforms — two client applications and CESAR's two institutional systems —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client web applications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CESAR's two institutional platforms alongside them: the portfolio system (Laravel 9 API, Nuxt 2 front end) and, from 2024, the surveys system (Flask 3 API with SQLAlchemy, Redis caching, scheduled jobs and Swagger docs, Nuxt 3 front end).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 across both stacks, standardizing response contracts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all four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Ran Sentry error monitoring across three of the four platforms, on two separate instances — a client's and CESAR's — creating projects per environment and instrumenting both frontend and backend applications.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the entire backend unit and integration test suites for the two client applications, reaching ~50% coverage on one and ~98% on the other.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 — plus CESAR's own portfolio platform from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the portfolio platform from 2020 — a Laravel 9 API exposing JSON:API contracts, with a Nuxt 2 front end added in 2022 — carried forward into the following roles.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Implemented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awarded Best Application from the Americas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Best Application from the Americas — Sea Hunter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