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054DE">
      <w:pPr>
        <w:pStyle w:val="31"/>
        <w:spacing w:after="60" w:line="240" w:lineRule="auto"/>
        <w:jc w:val="center"/>
      </w:pPr>
      <w:r>
        <w:rPr>
          <w:rFonts w:ascii="Arial Unicode MS" w:hAnsi="Arial Unicode MS" w:eastAsia="Arial Unicode MS"/>
          <w:b/>
          <w:color w:val="000000"/>
          <w:sz w:val="44"/>
        </w:rPr>
        <w:t>餐饮食堂大屏功能模块整理</w:t>
      </w:r>
    </w:p>
    <w:p w14:paraId="257B40A3">
      <w:pPr>
        <w:pStyle w:val="3"/>
      </w:pPr>
      <w:r>
        <w:t>一  模块覆盖概览</w:t>
      </w: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5AE1E101">
        <w:trPr>
          <w:jc w:val="center"/>
        </w:trPr>
        <w:tc>
          <w:tcPr>
            <w:tcW w:w="1701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1F89133F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覆盖层级</w:t>
            </w:r>
          </w:p>
        </w:tc>
        <w:tc>
          <w:tcPr>
            <w:tcW w:w="3005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5C1A18E9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w="3969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7ECA86F8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报告中的判断</w:t>
            </w:r>
          </w:p>
        </w:tc>
      </w:tr>
      <w:tr w14:paraId="73396A3C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2B6549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高覆盖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16624B3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经营指标；食安台账；菜品/档口；视频/AI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E421AF4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多数竞品均有明确展示，是食堂大屏的共同基础。</w:t>
            </w:r>
          </w:p>
        </w:tc>
      </w:tr>
      <w:tr w14:paraId="1C6D4A09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A8C7883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中等覆盖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6927F7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库存/进销存；服务口碑；多食堂总览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CEFD24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部分厂商重点展示，适合形成管理深度和集团化能力。</w:t>
            </w:r>
          </w:p>
        </w:tc>
      </w:tr>
      <w:tr w14:paraId="21594376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6D03F37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稀缺特色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2C67D75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成本盈亏；营养分析；充值支付；电子地图；设备处置状态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252033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行业普遍性较低，但更能体现产品定位和差异化。</w:t>
            </w:r>
          </w:p>
        </w:tc>
      </w:tr>
    </w:tbl>
    <w:p w14:paraId="79B4F9FE">
      <w:pPr>
        <w:pStyle w:val="3"/>
      </w:pPr>
      <w:r>
        <w:t>二  功能模块清单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18ACD718">
        <w:trPr>
          <w:jc w:val="center"/>
        </w:trPr>
        <w:tc>
          <w:tcPr>
            <w:tcW w:w="1701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3210FA04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功能模块</w:t>
            </w:r>
          </w:p>
        </w:tc>
        <w:tc>
          <w:tcPr>
            <w:tcW w:w="4592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3252B0FA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具体能力</w:t>
            </w:r>
          </w:p>
        </w:tc>
        <w:tc>
          <w:tcPr>
            <w:tcW w:w="2381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1F527D"/>
            <w:vAlign w:val="center"/>
          </w:tcPr>
          <w:p w14:paraId="29CE8D36">
            <w:pPr>
              <w:spacing w:after="0" w:line="25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主要用途</w:t>
            </w:r>
          </w:p>
        </w:tc>
      </w:tr>
      <w:tr w14:paraId="7D2E6659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09BA6CB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经营分析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070946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就餐人次、消费金额/营业额、订单数、客单价、人均消费、就餐效率、近 7 日趋势、单日峰值、餐次结构、消费类别占比、部门就餐人数、错峰数据、预约率。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212E8F2D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查看经营结果、客流变化和供给效率。</w:t>
            </w:r>
          </w:p>
        </w:tc>
      </w:tr>
      <w:tr w14:paraId="40D27F9D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24ACCBF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菜品与档口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26D252B7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今日菜品；早餐、午餐、晚餐、夜宵菜品数量；菜品销量排行、热门菜、Top10、单价分布；档口经营与销售排行；本周菜谱；菜品点赞排行；原料品牌公示。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AB56784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分析菜品表现、档口经营和用户偏好。</w:t>
            </w:r>
          </w:p>
        </w:tc>
      </w:tr>
      <w:tr w14:paraId="11FFF1D0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6E612734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食品安全台账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12207DA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留样、农残检测、晨检、消毒、环境监测、温湿度监测、卫生达标、食品经营许可证、员工健康证、食材溯源、食品安全信息公示。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2F1255BB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展示合规记录和食安公示信息。</w:t>
            </w:r>
          </w:p>
        </w:tc>
      </w:tr>
      <w:tr w14:paraId="28301909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4B8E3062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视频与 AI 监管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0B677E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明厨亮灶、重点区域监控、后厨直播、视频轮播、AI 巡检、AI 行为分析、实时报警、预警统计、预警查询与定位。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66BA129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通过视频和智能分析发现异常。</w:t>
            </w:r>
          </w:p>
        </w:tc>
      </w:tr>
      <w:tr w14:paraId="2726C1A1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7AE370BF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库存与供应链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0A3225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库存管理、进销存、食材采购成本、损耗率、库存耗用、食材溯源、供应链数据。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6F9A9275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连接采购、库存和食材消耗。</w:t>
            </w:r>
          </w:p>
        </w:tc>
      </w:tr>
      <w:tr w14:paraId="07292597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15BD4E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成本与财务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26F67BF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收支盈亏、采购成本、损耗成本、人工成本、能耗成本、充值支付概览。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18F45A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评估食堂盈利能力和成本结构。</w:t>
            </w:r>
          </w:p>
        </w:tc>
      </w:tr>
      <w:tr w14:paraId="0FE3369E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7839EFE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设备运维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47FC8566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设备运行状态、设备在线/离线、故障告警、设备运行监测、告警处置状态。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04AB022B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监测设备可用性并跟踪故障处理。</w:t>
            </w:r>
          </w:p>
        </w:tc>
      </w:tr>
      <w:tr w14:paraId="4B1B3A78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54F7390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服务口碑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B733832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满意度、好评率、投诉问题、服务短板、用户评价反馈。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185A9D2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衡量服务质量和用户体验。</w:t>
            </w:r>
          </w:p>
        </w:tc>
      </w:tr>
      <w:tr w14:paraId="286A5A1E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5F865BEA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营养与菜单分析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2602852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菜品营养成分、营养分析、菜单偏好、餐次营养结构。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5A204F2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支持健康膳食和菜单优化。</w:t>
            </w:r>
          </w:p>
        </w:tc>
      </w:tr>
      <w:tr w14:paraId="1542BE7F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62BBB1A0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多食堂与集团总览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990ADFB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多食堂经营状态、菜品销售、库存、满意度、跨区域消费、集团/园区数据汇总。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18056D07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支撑园区、集团和跨食堂管理。</w:t>
            </w:r>
          </w:p>
        </w:tc>
      </w:tr>
      <w:tr w14:paraId="58C5829A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39EBEEE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告警整改闭环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600E20B4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告警发现、问题定位、责任处置、整改跟踪、整改完成状态。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vAlign w:val="center"/>
          </w:tcPr>
          <w:p w14:paraId="67FD8C93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从“看见异常”延伸到“完成处置”。</w:t>
            </w:r>
          </w:p>
        </w:tc>
      </w:tr>
      <w:tr w14:paraId="2C595C6E">
        <w:trPr>
          <w:jc w:val="center"/>
        </w:trPr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799FA7E7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F527D"/>
                <w:sz w:val="19"/>
              </w:rPr>
              <w:t>特色扩展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0A41F41E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电子地图、企业资质审核、校园餐监管、学校/食堂监管总览。</w:t>
            </w:r>
          </w:p>
        </w:tc>
        <w:tc>
          <w:tcPr>
            <w:tcW w:w="3400" w:type="dxa"/>
            <w:tcBorders>
              <w:top w:val="single" w:color="D9E1E8" w:sz="6" w:space="0"/>
              <w:left w:val="single" w:color="D9E1E8" w:sz="6" w:space="0"/>
              <w:bottom w:val="single" w:color="D9E1E8" w:sz="6" w:space="0"/>
              <w:right w:val="single" w:color="D9E1E8" w:sz="6" w:space="0"/>
              <w:insideH w:val="single" w:sz="6" w:space="0"/>
              <w:insideV w:val="single" w:sz="6" w:space="0"/>
            </w:tcBorders>
            <w:shd w:val="clear" w:color="auto" w:fill="F5F8FB"/>
            <w:vAlign w:val="center"/>
          </w:tcPr>
          <w:p w14:paraId="5A714448">
            <w:pPr>
              <w:spacing w:after="0" w:line="25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9"/>
              </w:rPr>
              <w:t>满足区域、校园和监管场景的扩展需求。</w:t>
            </w:r>
          </w:p>
        </w:tc>
      </w:tr>
    </w:tbl>
    <w:p w14:paraId="436CB2D5">
      <w:pPr>
        <w:pStyle w:val="3"/>
      </w:pPr>
    </w:p>
    <w:p w14:paraId="5696792E">
      <w:pPr>
        <w:pStyle w:val="3"/>
      </w:pPr>
      <w:r>
        <w:t>四  产品规划提示</w:t>
      </w:r>
    </w:p>
    <w:p w14:paraId="1412FF56">
      <w:pPr>
        <w:pStyle w:val="16"/>
        <w:spacing w:after="100" w:line="276" w:lineRule="auto"/>
      </w:pPr>
      <w:r>
        <w:rPr>
          <w:rFonts w:ascii="Arial Unicode MS" w:hAnsi="Arial Unicode MS" w:eastAsia="Arial Unicode MS"/>
          <w:b w:val="0"/>
          <w:color w:val="333333"/>
          <w:sz w:val="21"/>
        </w:rPr>
        <w:t>基础版本建议优先覆盖经营分析、菜品/档口、食品安全台账和视频/AI 四个高覆盖模块。</w:t>
      </w:r>
    </w:p>
    <w:p w14:paraId="05A9936F">
      <w:pPr>
        <w:pStyle w:val="16"/>
        <w:spacing w:after="100" w:line="276" w:lineRule="auto"/>
      </w:pPr>
      <w:r>
        <w:rPr>
          <w:rFonts w:ascii="Arial Unicode MS" w:hAnsi="Arial Unicode MS" w:eastAsia="Arial Unicode MS"/>
          <w:b w:val="0"/>
          <w:color w:val="333333"/>
          <w:sz w:val="21"/>
        </w:rPr>
        <w:t>若目标是园区或集团管理，可将多食堂总览、成本财务、库存进销存作为第二层能力。</w:t>
      </w:r>
    </w:p>
    <w:p w14:paraId="662DEDE0">
      <w:pPr>
        <w:pStyle w:val="16"/>
        <w:spacing w:after="100" w:line="276" w:lineRule="auto"/>
      </w:pPr>
      <w:r>
        <w:rPr>
          <w:rFonts w:ascii="Arial Unicode MS" w:hAnsi="Arial Unicode MS" w:eastAsia="Arial Unicode MS"/>
          <w:b w:val="0"/>
          <w:color w:val="333333"/>
          <w:sz w:val="21"/>
        </w:rPr>
        <w:t>若目标是监管闭环，应重点建设预警、定位、责任处置和整改状态，而不只是展示告警数量。</w:t>
      </w:r>
    </w:p>
    <w:p w14:paraId="672AE9DB">
      <w:pPr>
        <w:pStyle w:val="16"/>
        <w:spacing w:after="100" w:line="276" w:lineRule="auto"/>
      </w:pPr>
      <w:r>
        <w:rPr>
          <w:rFonts w:ascii="Arial Unicode MS" w:hAnsi="Arial Unicode MS" w:eastAsia="Arial Unicode MS"/>
          <w:b w:val="0"/>
          <w:color w:val="333333"/>
          <w:sz w:val="21"/>
        </w:rPr>
        <w:t>营养分析、电子地图、充值支付、设备处置状态可作为差异化扩展模块，按目标用户选择。</w:t>
      </w:r>
    </w:p>
    <w:sectPr>
      <w:footerReference r:id="rId5" w:type="default"/>
      <w:pgSz w:w="12240" w:h="15840"/>
      <w:pgMar w:top="964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1252B">
    <w:pPr>
      <w:pStyle w:val="24"/>
      <w:jc w:val="center"/>
    </w:pPr>
    <w:r>
      <w:rPr>
        <w:rFonts w:ascii="Arial Unicode MS" w:hAnsi="Arial Unicode MS" w:eastAsia="Arial Unicode MS"/>
        <w:b w:val="0"/>
        <w:color w:val="8899A6"/>
        <w:sz w:val="17"/>
      </w:rPr>
      <w:t>餐饮食堂大屏功能模块整理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A7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</cp:lastModifiedBy>
  <dcterms:modified xsi:type="dcterms:W3CDTF">2026-09-08T10:31:21Z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DD1DECCD2DD54CC579739F6AF88D2A18_42</vt:lpwstr>
  </property>
</Properties>
</file>