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93" w:type="dxa"/>
        <w:tblLook w:val="04A0" w:firstRow="1" w:lastRow="0" w:firstColumn="1" w:lastColumn="0" w:noHBand="0" w:noVBand="1"/>
      </w:tblPr>
      <w:tblGrid>
        <w:gridCol w:w="2358"/>
        <w:gridCol w:w="6217"/>
        <w:gridCol w:w="6218"/>
      </w:tblGrid>
      <w:tr w:rsidR="00D72D6D" w:rsidRPr="00B55F29" w:rsidTr="00A64754">
        <w:trPr>
          <w:trHeight w:val="161"/>
        </w:trPr>
        <w:tc>
          <w:tcPr>
            <w:tcW w:w="2358" w:type="dxa"/>
            <w:noWrap/>
            <w:vAlign w:val="center"/>
          </w:tcPr>
          <w:p w:rsidR="00D72D6D" w:rsidRPr="00776229" w:rsidRDefault="00D72D6D" w:rsidP="00D72D6D">
            <w:pPr>
              <w:jc w:val="center"/>
              <w:rPr>
                <w:b/>
              </w:rPr>
            </w:pPr>
            <w:r>
              <w:rPr>
                <w:b/>
              </w:rPr>
              <w:t>QUESTION</w:t>
            </w:r>
          </w:p>
        </w:tc>
        <w:tc>
          <w:tcPr>
            <w:tcW w:w="12435" w:type="dxa"/>
            <w:gridSpan w:val="2"/>
            <w:vAlign w:val="center"/>
            <w:hideMark/>
          </w:tcPr>
          <w:p w:rsidR="00D72D6D" w:rsidRPr="00B55F29" w:rsidRDefault="00BA6F3F" w:rsidP="00D72D6D">
            <w:pPr>
              <w:ind w:left="93"/>
              <w:rPr>
                <w:b/>
                <w:bCs/>
                <w:szCs w:val="18"/>
              </w:rPr>
            </w:pPr>
            <w:r w:rsidRPr="00BA6F3F">
              <w:rPr>
                <w:b/>
                <w:bCs/>
                <w:szCs w:val="18"/>
              </w:rPr>
              <w:t>A - Plans and Permits</w:t>
            </w:r>
          </w:p>
        </w:tc>
      </w:tr>
      <w:tr w:rsidR="00AD7AD3" w:rsidRPr="00B55F29" w:rsidTr="006E1210">
        <w:trPr>
          <w:trHeight w:val="432"/>
        </w:trPr>
        <w:tc>
          <w:tcPr>
            <w:tcW w:w="2358" w:type="dxa"/>
            <w:shd w:val="clear" w:color="auto" w:fill="F2F2F2" w:themeFill="background1" w:themeFillShade="F2"/>
            <w:noWrap/>
            <w:vAlign w:val="center"/>
          </w:tcPr>
          <w:p w:rsidR="00AD7AD3" w:rsidRDefault="00AD7AD3" w:rsidP="00582776">
            <w:pPr>
              <w:jc w:val="center"/>
              <w:rPr>
                <w:b/>
              </w:rPr>
            </w:pPr>
            <w:r>
              <w:rPr>
                <w:b/>
              </w:rPr>
              <w:t>A.1</w:t>
            </w:r>
          </w:p>
        </w:tc>
        <w:tc>
          <w:tcPr>
            <w:tcW w:w="6217" w:type="dxa"/>
            <w:shd w:val="clear" w:color="auto" w:fill="F2F2F2" w:themeFill="background1" w:themeFillShade="F2"/>
            <w:vAlign w:val="center"/>
          </w:tcPr>
          <w:p w:rsidR="00AD7AD3" w:rsidRPr="008E3D79" w:rsidRDefault="00AD7AD3" w:rsidP="00AD7AD3">
            <w:pPr>
              <w:ind w:left="93"/>
              <w:rPr>
                <w:bCs/>
                <w:szCs w:val="18"/>
              </w:rPr>
            </w:pPr>
            <w:r w:rsidRPr="00582776">
              <w:rPr>
                <w:bCs/>
                <w:szCs w:val="18"/>
              </w:rPr>
              <w:t xml:space="preserve">Is </w:t>
            </w:r>
            <w:r>
              <w:rPr>
                <w:bCs/>
                <w:szCs w:val="18"/>
              </w:rPr>
              <w:t>the</w:t>
            </w:r>
            <w:r w:rsidRPr="00582776">
              <w:rPr>
                <w:bCs/>
                <w:szCs w:val="18"/>
              </w:rPr>
              <w:t xml:space="preserve"> </w:t>
            </w:r>
            <w:r w:rsidR="00DB294F">
              <w:rPr>
                <w:bCs/>
                <w:szCs w:val="18"/>
              </w:rPr>
              <w:t xml:space="preserve">signed </w:t>
            </w:r>
            <w:r w:rsidRPr="00582776">
              <w:rPr>
                <w:bCs/>
                <w:szCs w:val="18"/>
              </w:rPr>
              <w:t>SWPPP available at the construction site?</w:t>
            </w:r>
          </w:p>
        </w:tc>
        <w:tc>
          <w:tcPr>
            <w:tcW w:w="6218" w:type="dxa"/>
            <w:shd w:val="clear" w:color="auto" w:fill="F2F2F2" w:themeFill="background1" w:themeFillShade="F2"/>
            <w:vAlign w:val="center"/>
          </w:tcPr>
          <w:p w:rsidR="00AD7AD3" w:rsidRDefault="00AD7AD3" w:rsidP="00AD7AD3">
            <w:pPr>
              <w:ind w:left="72"/>
              <w:jc w:val="center"/>
              <w:rPr>
                <w:b/>
                <w:bCs/>
                <w:szCs w:val="18"/>
              </w:rPr>
            </w:pPr>
            <w:r w:rsidRPr="004C12FD">
              <w:rPr>
                <w:b/>
                <w:bCs/>
                <w:szCs w:val="18"/>
              </w:rPr>
              <w:t>This question has nothing to do</w:t>
            </w:r>
            <w:r>
              <w:rPr>
                <w:b/>
                <w:bCs/>
                <w:szCs w:val="18"/>
              </w:rPr>
              <w:t xml:space="preserve"> with the adequacy of the SWPPP</w:t>
            </w:r>
          </w:p>
          <w:p w:rsidR="00AD7AD3" w:rsidRPr="008E3D79" w:rsidRDefault="00AD7AD3" w:rsidP="00AD7AD3">
            <w:pPr>
              <w:ind w:left="93"/>
              <w:jc w:val="center"/>
              <w:rPr>
                <w:bCs/>
                <w:szCs w:val="18"/>
              </w:rPr>
            </w:pPr>
            <w:r w:rsidRPr="004C12FD">
              <w:rPr>
                <w:b/>
                <w:bCs/>
                <w:szCs w:val="18"/>
              </w:rPr>
              <w:t>or the need for an amendment.</w:t>
            </w:r>
          </w:p>
        </w:tc>
      </w:tr>
      <w:tr w:rsidR="005166A9" w:rsidRPr="00B55F29" w:rsidTr="003217AB">
        <w:trPr>
          <w:trHeight w:val="432"/>
        </w:trPr>
        <w:tc>
          <w:tcPr>
            <w:tcW w:w="2358" w:type="dxa"/>
            <w:noWrap/>
            <w:vAlign w:val="center"/>
          </w:tcPr>
          <w:p w:rsidR="005166A9" w:rsidRPr="00D96930" w:rsidRDefault="00AA1A3D" w:rsidP="005166A9">
            <w:pPr>
              <w:jc w:val="center"/>
              <w:rPr>
                <w:b/>
              </w:rPr>
            </w:pPr>
            <w:r>
              <w:rPr>
                <w:b/>
              </w:rPr>
              <w:t>SPECs, 13-1.03A General</w:t>
            </w:r>
          </w:p>
        </w:tc>
        <w:tc>
          <w:tcPr>
            <w:tcW w:w="12435" w:type="dxa"/>
            <w:gridSpan w:val="2"/>
            <w:vAlign w:val="center"/>
          </w:tcPr>
          <w:p w:rsidR="005166A9" w:rsidRPr="00C0618F" w:rsidRDefault="00AA1A3D" w:rsidP="005166A9">
            <w:pPr>
              <w:ind w:left="72"/>
            </w:pPr>
            <w:r w:rsidRPr="00AA1A3D">
              <w:t>Retain a printed copy of the authorized</w:t>
            </w:r>
            <w:r>
              <w:t xml:space="preserve"> WPCP or SWPPP at the job site.</w:t>
            </w:r>
          </w:p>
        </w:tc>
      </w:tr>
      <w:tr w:rsidR="00535D79" w:rsidTr="003217AB">
        <w:trPr>
          <w:trHeight w:val="432"/>
        </w:trPr>
        <w:tc>
          <w:tcPr>
            <w:tcW w:w="2358" w:type="dxa"/>
            <w:vAlign w:val="center"/>
          </w:tcPr>
          <w:p w:rsidR="00535D79" w:rsidRPr="00D96930" w:rsidRDefault="00535D79" w:rsidP="00AA1A3D">
            <w:pPr>
              <w:jc w:val="center"/>
              <w:rPr>
                <w:b/>
              </w:rPr>
            </w:pPr>
            <w:r w:rsidRPr="00286775">
              <w:rPr>
                <w:b/>
              </w:rPr>
              <w:t xml:space="preserve">CGP, Order </w:t>
            </w:r>
            <w:r w:rsidR="00AA1A3D">
              <w:rPr>
                <w:b/>
              </w:rPr>
              <w:t>X</w:t>
            </w:r>
            <w:r w:rsidRPr="00286775">
              <w:rPr>
                <w:b/>
              </w:rPr>
              <w:t>I</w:t>
            </w:r>
            <w:r w:rsidR="00AA1A3D">
              <w:rPr>
                <w:b/>
              </w:rPr>
              <w:t>V</w:t>
            </w:r>
            <w:r w:rsidRPr="00286775">
              <w:rPr>
                <w:b/>
              </w:rPr>
              <w:t>.C</w:t>
            </w:r>
            <w:r w:rsidR="00AA1A3D">
              <w:rPr>
                <w:b/>
              </w:rPr>
              <w:t xml:space="preserve"> SWPPP Requirements</w:t>
            </w:r>
          </w:p>
        </w:tc>
        <w:tc>
          <w:tcPr>
            <w:tcW w:w="12435" w:type="dxa"/>
            <w:gridSpan w:val="2"/>
          </w:tcPr>
          <w:p w:rsidR="00535D79" w:rsidRDefault="003217AB" w:rsidP="003217AB">
            <w:pPr>
              <w:ind w:left="72"/>
            </w:pPr>
            <w:r>
              <w:t>Risk level 1, 2, and 3</w:t>
            </w:r>
            <w:r w:rsidR="00AA1A3D" w:rsidRPr="00AA1A3D">
              <w:t xml:space="preserve"> discharger</w:t>
            </w:r>
            <w:r>
              <w:t>s</w:t>
            </w:r>
            <w:r w:rsidR="00AA1A3D" w:rsidRPr="00AA1A3D">
              <w:t xml:space="preserve"> shall make the SWPPP available at the construction site during working hours while construction is occurring and shall be made available upon request by </w:t>
            </w:r>
            <w:r w:rsidR="00AA1A3D">
              <w:t>a State or Municipal inspector.</w:t>
            </w:r>
          </w:p>
        </w:tc>
      </w:tr>
      <w:tr w:rsidR="00AA1A3D" w:rsidTr="003217AB">
        <w:trPr>
          <w:trHeight w:val="432"/>
        </w:trPr>
        <w:tc>
          <w:tcPr>
            <w:tcW w:w="2358" w:type="dxa"/>
            <w:vAlign w:val="center"/>
          </w:tcPr>
          <w:p w:rsidR="00AA1A3D" w:rsidRPr="00286775" w:rsidRDefault="00AA1A3D" w:rsidP="00582776">
            <w:pPr>
              <w:jc w:val="center"/>
              <w:rPr>
                <w:b/>
              </w:rPr>
            </w:pPr>
            <w:r>
              <w:rPr>
                <w:b/>
              </w:rPr>
              <w:t xml:space="preserve">LTP, </w:t>
            </w:r>
            <w:r w:rsidR="004C12FD">
              <w:rPr>
                <w:b/>
              </w:rPr>
              <w:t xml:space="preserve">Order </w:t>
            </w:r>
            <w:r>
              <w:rPr>
                <w:b/>
              </w:rPr>
              <w:t>IX</w:t>
            </w:r>
            <w:r w:rsidR="00582776">
              <w:rPr>
                <w:b/>
              </w:rPr>
              <w:t>.D</w:t>
            </w:r>
            <w:r>
              <w:rPr>
                <w:b/>
              </w:rPr>
              <w:t xml:space="preserve"> </w:t>
            </w:r>
            <w:r w:rsidR="00582776">
              <w:rPr>
                <w:b/>
              </w:rPr>
              <w:t>Availability and Public Records Access</w:t>
            </w:r>
          </w:p>
        </w:tc>
        <w:tc>
          <w:tcPr>
            <w:tcW w:w="12435" w:type="dxa"/>
            <w:gridSpan w:val="2"/>
            <w:vAlign w:val="center"/>
          </w:tcPr>
          <w:p w:rsidR="00AA1A3D" w:rsidRPr="00AA1A3D" w:rsidRDefault="00582776" w:rsidP="00582776">
            <w:pPr>
              <w:ind w:left="72"/>
            </w:pPr>
            <w:r>
              <w:t>The SWPPP and any amendments shall be kept on site during construction activity and made available upon request of a representative of the Regional Water Board or any local storm water management agency which receives the storm water discharge.</w:t>
            </w:r>
          </w:p>
        </w:tc>
      </w:tr>
    </w:tbl>
    <w:p w:rsidR="008E3D79" w:rsidRPr="005E2733" w:rsidRDefault="008E3D79" w:rsidP="008E3D79">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6480"/>
        <w:gridCol w:w="5955"/>
      </w:tblGrid>
      <w:tr w:rsidR="00D72D6D" w:rsidRPr="00B55F29" w:rsidTr="00A64754">
        <w:trPr>
          <w:trHeight w:val="161"/>
        </w:trPr>
        <w:tc>
          <w:tcPr>
            <w:tcW w:w="2358" w:type="dxa"/>
            <w:noWrap/>
            <w:vAlign w:val="center"/>
          </w:tcPr>
          <w:p w:rsidR="00D72D6D" w:rsidRDefault="00D72D6D" w:rsidP="00D72D6D">
            <w:pPr>
              <w:jc w:val="center"/>
              <w:rPr>
                <w:b/>
              </w:rPr>
            </w:pPr>
          </w:p>
        </w:tc>
        <w:tc>
          <w:tcPr>
            <w:tcW w:w="12435" w:type="dxa"/>
            <w:gridSpan w:val="2"/>
            <w:vAlign w:val="center"/>
          </w:tcPr>
          <w:p w:rsidR="00D72D6D" w:rsidRPr="00B55F29" w:rsidRDefault="00D72D6D" w:rsidP="005166A9">
            <w:pPr>
              <w:ind w:left="93"/>
              <w:rPr>
                <w:b/>
                <w:bCs/>
                <w:szCs w:val="18"/>
              </w:rPr>
            </w:pPr>
          </w:p>
        </w:tc>
      </w:tr>
      <w:tr w:rsidR="004C12FD" w:rsidRPr="00B55F29" w:rsidTr="003217AB">
        <w:trPr>
          <w:trHeight w:val="432"/>
        </w:trPr>
        <w:tc>
          <w:tcPr>
            <w:tcW w:w="2358" w:type="dxa"/>
            <w:shd w:val="clear" w:color="auto" w:fill="F2F2F2" w:themeFill="background1" w:themeFillShade="F2"/>
            <w:noWrap/>
            <w:vAlign w:val="center"/>
          </w:tcPr>
          <w:p w:rsidR="004C12FD" w:rsidRDefault="004C12FD" w:rsidP="00535D79">
            <w:pPr>
              <w:jc w:val="center"/>
              <w:rPr>
                <w:b/>
              </w:rPr>
            </w:pPr>
            <w:r>
              <w:rPr>
                <w:b/>
              </w:rPr>
              <w:t>A.2</w:t>
            </w:r>
          </w:p>
        </w:tc>
        <w:tc>
          <w:tcPr>
            <w:tcW w:w="6480" w:type="dxa"/>
            <w:shd w:val="clear" w:color="auto" w:fill="F2F2F2" w:themeFill="background1" w:themeFillShade="F2"/>
            <w:vAlign w:val="center"/>
          </w:tcPr>
          <w:p w:rsidR="004C12FD" w:rsidRPr="008E3D79" w:rsidRDefault="00AD7AD3" w:rsidP="00AD7AD3">
            <w:pPr>
              <w:ind w:left="5472" w:hanging="5379"/>
              <w:rPr>
                <w:bCs/>
                <w:szCs w:val="18"/>
              </w:rPr>
            </w:pPr>
            <w:r>
              <w:rPr>
                <w:bCs/>
                <w:szCs w:val="18"/>
              </w:rPr>
              <w:t>I</w:t>
            </w:r>
            <w:r w:rsidR="00BA6F3F">
              <w:rPr>
                <w:bCs/>
                <w:szCs w:val="18"/>
              </w:rPr>
              <w:t>s</w:t>
            </w:r>
            <w:r w:rsidR="004C12FD" w:rsidRPr="00582776">
              <w:rPr>
                <w:bCs/>
                <w:szCs w:val="18"/>
              </w:rPr>
              <w:t xml:space="preserve"> the SWPPP </w:t>
            </w:r>
            <w:r w:rsidR="00BA6F3F">
              <w:rPr>
                <w:bCs/>
                <w:szCs w:val="18"/>
              </w:rPr>
              <w:t>(</w:t>
            </w:r>
            <w:r w:rsidR="004C12FD" w:rsidRPr="00582776">
              <w:rPr>
                <w:bCs/>
                <w:szCs w:val="18"/>
              </w:rPr>
              <w:t>and any amendments</w:t>
            </w:r>
            <w:r w:rsidR="00BA6F3F">
              <w:rPr>
                <w:bCs/>
                <w:szCs w:val="18"/>
              </w:rPr>
              <w:t>)</w:t>
            </w:r>
            <w:r w:rsidR="004C12FD" w:rsidRPr="00582776">
              <w:rPr>
                <w:bCs/>
                <w:szCs w:val="18"/>
              </w:rPr>
              <w:t xml:space="preserve"> prepared and signed by a certified QSD?</w:t>
            </w:r>
          </w:p>
        </w:tc>
        <w:tc>
          <w:tcPr>
            <w:tcW w:w="5955" w:type="dxa"/>
            <w:shd w:val="clear" w:color="auto" w:fill="F2F2F2" w:themeFill="background1" w:themeFillShade="F2"/>
            <w:vAlign w:val="center"/>
          </w:tcPr>
          <w:p w:rsidR="004C12FD" w:rsidRDefault="004C12FD" w:rsidP="00BA6F3F">
            <w:pPr>
              <w:ind w:left="72"/>
              <w:jc w:val="center"/>
              <w:rPr>
                <w:b/>
                <w:bCs/>
                <w:szCs w:val="18"/>
              </w:rPr>
            </w:pPr>
            <w:r w:rsidRPr="004C12FD">
              <w:rPr>
                <w:b/>
                <w:bCs/>
                <w:szCs w:val="18"/>
              </w:rPr>
              <w:t>This question has nothing to do</w:t>
            </w:r>
            <w:r>
              <w:rPr>
                <w:b/>
                <w:bCs/>
                <w:szCs w:val="18"/>
              </w:rPr>
              <w:t xml:space="preserve"> with the adequacy of the SWPPP</w:t>
            </w:r>
          </w:p>
          <w:p w:rsidR="004C12FD" w:rsidRPr="008E3D79" w:rsidRDefault="004C12FD" w:rsidP="00BA6F3F">
            <w:pPr>
              <w:ind w:left="72"/>
              <w:jc w:val="center"/>
              <w:rPr>
                <w:bCs/>
                <w:szCs w:val="18"/>
              </w:rPr>
            </w:pPr>
            <w:r w:rsidRPr="004C12FD">
              <w:rPr>
                <w:b/>
                <w:bCs/>
                <w:szCs w:val="18"/>
              </w:rPr>
              <w:t>or the need for an amendment.</w:t>
            </w:r>
          </w:p>
        </w:tc>
      </w:tr>
      <w:tr w:rsidR="00535D79" w:rsidRPr="00B55F29" w:rsidTr="003217AB">
        <w:trPr>
          <w:trHeight w:val="432"/>
        </w:trPr>
        <w:tc>
          <w:tcPr>
            <w:tcW w:w="2358" w:type="dxa"/>
            <w:noWrap/>
            <w:vAlign w:val="center"/>
          </w:tcPr>
          <w:p w:rsidR="00535D79" w:rsidRPr="00D96930" w:rsidRDefault="00582776" w:rsidP="004C12FD">
            <w:pPr>
              <w:jc w:val="center"/>
              <w:rPr>
                <w:b/>
              </w:rPr>
            </w:pPr>
            <w:r w:rsidRPr="00582776">
              <w:rPr>
                <w:b/>
              </w:rPr>
              <w:t>SPECs, 13-</w:t>
            </w:r>
            <w:r w:rsidR="004C12FD">
              <w:rPr>
                <w:b/>
              </w:rPr>
              <w:t>3</w:t>
            </w:r>
            <w:r w:rsidRPr="00582776">
              <w:rPr>
                <w:b/>
              </w:rPr>
              <w:t>.0</w:t>
            </w:r>
            <w:r w:rsidR="004C12FD">
              <w:rPr>
                <w:b/>
              </w:rPr>
              <w:t>1</w:t>
            </w:r>
            <w:r w:rsidRPr="00582776">
              <w:rPr>
                <w:b/>
              </w:rPr>
              <w:t xml:space="preserve">A </w:t>
            </w:r>
            <w:r w:rsidR="004C12FD">
              <w:rPr>
                <w:b/>
              </w:rPr>
              <w:t>Summary</w:t>
            </w:r>
          </w:p>
        </w:tc>
        <w:tc>
          <w:tcPr>
            <w:tcW w:w="12435" w:type="dxa"/>
            <w:gridSpan w:val="2"/>
            <w:vAlign w:val="center"/>
          </w:tcPr>
          <w:p w:rsidR="00535D79" w:rsidRPr="00C0618F" w:rsidRDefault="004C12FD" w:rsidP="004C12FD">
            <w:pPr>
              <w:ind w:left="72"/>
            </w:pPr>
            <w:r>
              <w:t>You may assign a QSD other than the WPC manager to develop the SWPPP</w:t>
            </w:r>
          </w:p>
        </w:tc>
      </w:tr>
      <w:tr w:rsidR="004C12FD" w:rsidRPr="00B55F29" w:rsidTr="003217AB">
        <w:trPr>
          <w:trHeight w:val="432"/>
        </w:trPr>
        <w:tc>
          <w:tcPr>
            <w:tcW w:w="2358" w:type="dxa"/>
            <w:noWrap/>
            <w:vAlign w:val="center"/>
          </w:tcPr>
          <w:p w:rsidR="004C12FD" w:rsidRPr="00D96930" w:rsidRDefault="004C12FD" w:rsidP="004C12FD">
            <w:pPr>
              <w:jc w:val="center"/>
              <w:rPr>
                <w:b/>
              </w:rPr>
            </w:pPr>
            <w:r w:rsidRPr="00286775">
              <w:rPr>
                <w:b/>
              </w:rPr>
              <w:t xml:space="preserve">CGP, Order </w:t>
            </w:r>
            <w:r>
              <w:rPr>
                <w:b/>
              </w:rPr>
              <w:t>VII</w:t>
            </w:r>
            <w:r w:rsidRPr="00286775">
              <w:rPr>
                <w:b/>
              </w:rPr>
              <w:t>.</w:t>
            </w:r>
            <w:r>
              <w:rPr>
                <w:b/>
              </w:rPr>
              <w:t>B.1 SWPPP Certification Requirements</w:t>
            </w:r>
          </w:p>
        </w:tc>
        <w:tc>
          <w:tcPr>
            <w:tcW w:w="12435" w:type="dxa"/>
            <w:gridSpan w:val="2"/>
            <w:vAlign w:val="center"/>
          </w:tcPr>
          <w:p w:rsidR="004C12FD" w:rsidRDefault="003217AB" w:rsidP="003217AB">
            <w:pPr>
              <w:ind w:left="72"/>
            </w:pPr>
            <w:r w:rsidRPr="003217AB">
              <w:t>Risk level 1, 2, and 3 dischargers shall ensure that SWPPPs are written, amended and certified by a Qualified SWPPP Developer (QSD).</w:t>
            </w:r>
          </w:p>
        </w:tc>
      </w:tr>
      <w:tr w:rsidR="004C12FD" w:rsidRPr="00B55F29" w:rsidTr="003217AB">
        <w:trPr>
          <w:trHeight w:val="432"/>
        </w:trPr>
        <w:tc>
          <w:tcPr>
            <w:tcW w:w="2358" w:type="dxa"/>
            <w:noWrap/>
            <w:vAlign w:val="center"/>
          </w:tcPr>
          <w:p w:rsidR="004C12FD" w:rsidRPr="00286775" w:rsidRDefault="004C12FD" w:rsidP="0025087C">
            <w:pPr>
              <w:jc w:val="center"/>
              <w:rPr>
                <w:b/>
              </w:rPr>
            </w:pPr>
            <w:r>
              <w:rPr>
                <w:b/>
              </w:rPr>
              <w:t xml:space="preserve">LTP, </w:t>
            </w:r>
            <w:r w:rsidRPr="004C12FD">
              <w:rPr>
                <w:b/>
              </w:rPr>
              <w:t>Order VII.B.1 SWPPP Certification Requirements</w:t>
            </w:r>
          </w:p>
        </w:tc>
        <w:tc>
          <w:tcPr>
            <w:tcW w:w="12435" w:type="dxa"/>
            <w:gridSpan w:val="2"/>
            <w:vAlign w:val="center"/>
          </w:tcPr>
          <w:p w:rsidR="004C12FD" w:rsidRDefault="004C12FD" w:rsidP="00535D79">
            <w:pPr>
              <w:ind w:left="72"/>
            </w:pPr>
            <w:r w:rsidRPr="004C12FD">
              <w:t>The discharger shall ensure that SWPPPs are written, amended and certified by a Qualified SWPPP Developer (QSD).</w:t>
            </w:r>
          </w:p>
        </w:tc>
      </w:tr>
    </w:tbl>
    <w:p w:rsidR="00BA6F3F" w:rsidRPr="005E2733" w:rsidRDefault="00BA6F3F" w:rsidP="00BA6F3F">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BA6F3F" w:rsidRPr="00B55F29" w:rsidTr="00A64754">
        <w:trPr>
          <w:trHeight w:val="161"/>
        </w:trPr>
        <w:tc>
          <w:tcPr>
            <w:tcW w:w="2358" w:type="dxa"/>
            <w:noWrap/>
            <w:vAlign w:val="center"/>
          </w:tcPr>
          <w:p w:rsidR="00BA6F3F" w:rsidRDefault="00BA6F3F" w:rsidP="0025087C">
            <w:pPr>
              <w:jc w:val="center"/>
              <w:rPr>
                <w:b/>
              </w:rPr>
            </w:pPr>
          </w:p>
        </w:tc>
        <w:tc>
          <w:tcPr>
            <w:tcW w:w="12435" w:type="dxa"/>
            <w:vAlign w:val="center"/>
          </w:tcPr>
          <w:p w:rsidR="00BA6F3F" w:rsidRPr="00B55F29" w:rsidRDefault="00BA6F3F" w:rsidP="0025087C">
            <w:pPr>
              <w:ind w:left="93"/>
              <w:rPr>
                <w:b/>
                <w:bCs/>
                <w:szCs w:val="18"/>
              </w:rPr>
            </w:pPr>
            <w:r w:rsidRPr="00BA6F3F">
              <w:rPr>
                <w:b/>
                <w:bCs/>
                <w:szCs w:val="18"/>
              </w:rPr>
              <w:t>B - Training</w:t>
            </w:r>
          </w:p>
        </w:tc>
      </w:tr>
      <w:tr w:rsidR="00BA6F3F" w:rsidRPr="00B55F29" w:rsidTr="003217AB">
        <w:trPr>
          <w:trHeight w:val="432"/>
        </w:trPr>
        <w:tc>
          <w:tcPr>
            <w:tcW w:w="2358" w:type="dxa"/>
            <w:shd w:val="clear" w:color="auto" w:fill="F2F2F2" w:themeFill="background1" w:themeFillShade="F2"/>
            <w:noWrap/>
            <w:vAlign w:val="center"/>
          </w:tcPr>
          <w:p w:rsidR="00BA6F3F" w:rsidRDefault="00BA6F3F" w:rsidP="00BA6F3F">
            <w:pPr>
              <w:jc w:val="center"/>
              <w:rPr>
                <w:b/>
              </w:rPr>
            </w:pPr>
            <w:r>
              <w:rPr>
                <w:b/>
              </w:rPr>
              <w:t>B.1</w:t>
            </w:r>
          </w:p>
        </w:tc>
        <w:tc>
          <w:tcPr>
            <w:tcW w:w="12435" w:type="dxa"/>
            <w:shd w:val="clear" w:color="auto" w:fill="F2F2F2" w:themeFill="background1" w:themeFillShade="F2"/>
            <w:vAlign w:val="center"/>
          </w:tcPr>
          <w:p w:rsidR="00BA6F3F" w:rsidRPr="008E3D79" w:rsidRDefault="00BA6F3F" w:rsidP="006719E8">
            <w:pPr>
              <w:ind w:left="72"/>
              <w:rPr>
                <w:bCs/>
                <w:szCs w:val="18"/>
              </w:rPr>
            </w:pPr>
            <w:r w:rsidRPr="00BA6F3F">
              <w:rPr>
                <w:bCs/>
                <w:szCs w:val="18"/>
              </w:rPr>
              <w:t>Do</w:t>
            </w:r>
            <w:r>
              <w:rPr>
                <w:bCs/>
                <w:szCs w:val="18"/>
              </w:rPr>
              <w:t>es the</w:t>
            </w:r>
            <w:r w:rsidRPr="00BA6F3F">
              <w:rPr>
                <w:bCs/>
                <w:szCs w:val="18"/>
              </w:rPr>
              <w:t xml:space="preserve"> WPC</w:t>
            </w:r>
            <w:r>
              <w:rPr>
                <w:bCs/>
                <w:szCs w:val="18"/>
              </w:rPr>
              <w:t xml:space="preserve"> manager</w:t>
            </w:r>
            <w:r w:rsidRPr="00BA6F3F">
              <w:rPr>
                <w:bCs/>
                <w:szCs w:val="18"/>
              </w:rPr>
              <w:t xml:space="preserve"> have </w:t>
            </w:r>
            <w:r>
              <w:rPr>
                <w:bCs/>
                <w:szCs w:val="18"/>
              </w:rPr>
              <w:t xml:space="preserve">a </w:t>
            </w:r>
            <w:r w:rsidRPr="00BA6F3F">
              <w:rPr>
                <w:bCs/>
                <w:szCs w:val="18"/>
              </w:rPr>
              <w:t>current certification</w:t>
            </w:r>
            <w:r>
              <w:rPr>
                <w:bCs/>
                <w:szCs w:val="18"/>
              </w:rPr>
              <w:t xml:space="preserve"> (QSD) </w:t>
            </w:r>
            <w:r w:rsidR="006719E8">
              <w:rPr>
                <w:bCs/>
                <w:szCs w:val="18"/>
              </w:rPr>
              <w:t>in the project</w:t>
            </w:r>
            <w:r>
              <w:rPr>
                <w:bCs/>
                <w:szCs w:val="18"/>
              </w:rPr>
              <w:t xml:space="preserve"> file</w:t>
            </w:r>
            <w:r w:rsidR="006719E8">
              <w:rPr>
                <w:bCs/>
                <w:szCs w:val="18"/>
              </w:rPr>
              <w:t>s</w:t>
            </w:r>
            <w:r w:rsidRPr="00BA6F3F">
              <w:rPr>
                <w:bCs/>
                <w:szCs w:val="18"/>
              </w:rPr>
              <w:t>?</w:t>
            </w:r>
          </w:p>
        </w:tc>
      </w:tr>
      <w:tr w:rsidR="00BA6F3F" w:rsidRPr="00B55F29" w:rsidTr="003217AB">
        <w:trPr>
          <w:trHeight w:val="432"/>
        </w:trPr>
        <w:tc>
          <w:tcPr>
            <w:tcW w:w="2358" w:type="dxa"/>
            <w:noWrap/>
            <w:vAlign w:val="center"/>
          </w:tcPr>
          <w:p w:rsidR="00BA6F3F" w:rsidRPr="00D96930" w:rsidRDefault="00BA6F3F" w:rsidP="00BA6F3F">
            <w:pPr>
              <w:jc w:val="center"/>
              <w:rPr>
                <w:b/>
              </w:rPr>
            </w:pPr>
            <w:r w:rsidRPr="00582776">
              <w:rPr>
                <w:b/>
              </w:rPr>
              <w:t>SPECs, 13-</w:t>
            </w:r>
            <w:r>
              <w:rPr>
                <w:b/>
              </w:rPr>
              <w:t>1</w:t>
            </w:r>
            <w:r w:rsidRPr="00582776">
              <w:rPr>
                <w:b/>
              </w:rPr>
              <w:t>.0</w:t>
            </w:r>
            <w:r>
              <w:rPr>
                <w:b/>
              </w:rPr>
              <w:t>1D(3)(a)</w:t>
            </w:r>
            <w:r w:rsidRPr="00582776">
              <w:rPr>
                <w:b/>
              </w:rPr>
              <w:t xml:space="preserve"> </w:t>
            </w:r>
            <w:r>
              <w:rPr>
                <w:b/>
              </w:rPr>
              <w:t>General</w:t>
            </w:r>
          </w:p>
        </w:tc>
        <w:tc>
          <w:tcPr>
            <w:tcW w:w="12435" w:type="dxa"/>
            <w:vAlign w:val="center"/>
          </w:tcPr>
          <w:p w:rsidR="00BA6F3F" w:rsidRPr="00C0618F" w:rsidRDefault="00BA6F3F" w:rsidP="00BA6F3F">
            <w:pPr>
              <w:ind w:left="72"/>
            </w:pPr>
            <w:r>
              <w:t>The WPC manager must be a QSP if the project requires a WPCP. The WPC manager must be a QSD if the project requires a SWPPP.</w:t>
            </w:r>
          </w:p>
        </w:tc>
      </w:tr>
      <w:tr w:rsidR="00BA6F3F" w:rsidRPr="00B55F29" w:rsidTr="003217AB">
        <w:trPr>
          <w:trHeight w:val="432"/>
        </w:trPr>
        <w:tc>
          <w:tcPr>
            <w:tcW w:w="2358" w:type="dxa"/>
            <w:noWrap/>
            <w:vAlign w:val="center"/>
          </w:tcPr>
          <w:p w:rsidR="00BA6F3F" w:rsidRPr="00D96930" w:rsidRDefault="00BA6F3F" w:rsidP="003217AB">
            <w:pPr>
              <w:jc w:val="center"/>
              <w:rPr>
                <w:b/>
              </w:rPr>
            </w:pPr>
            <w:r w:rsidRPr="00286775">
              <w:rPr>
                <w:b/>
              </w:rPr>
              <w:t xml:space="preserve">CGP, Order </w:t>
            </w:r>
            <w:r>
              <w:rPr>
                <w:b/>
              </w:rPr>
              <w:t>VII</w:t>
            </w:r>
            <w:r w:rsidRPr="00286775">
              <w:rPr>
                <w:b/>
              </w:rPr>
              <w:t>.</w:t>
            </w:r>
            <w:r>
              <w:rPr>
                <w:b/>
              </w:rPr>
              <w:t>B.</w:t>
            </w:r>
            <w:r w:rsidR="003217AB">
              <w:rPr>
                <w:b/>
              </w:rPr>
              <w:t>2</w:t>
            </w:r>
            <w:r>
              <w:rPr>
                <w:b/>
              </w:rPr>
              <w:t xml:space="preserve"> SWPPP Certification Requirements</w:t>
            </w:r>
          </w:p>
        </w:tc>
        <w:tc>
          <w:tcPr>
            <w:tcW w:w="12435" w:type="dxa"/>
            <w:vAlign w:val="center"/>
          </w:tcPr>
          <w:p w:rsidR="00BA6F3F" w:rsidRDefault="00164AF1" w:rsidP="00164AF1">
            <w:pPr>
              <w:ind w:left="72"/>
            </w:pPr>
            <w:r>
              <w:t>The discharger</w:t>
            </w:r>
            <w:r w:rsidR="003217AB" w:rsidRPr="00AA1A3D">
              <w:t xml:space="preserve"> </w:t>
            </w:r>
            <w:r w:rsidR="003217AB" w:rsidRPr="003217AB">
              <w:t xml:space="preserve">shall ensure that all BMPs required by this General Permit are implemented by a Qualified SWPPP Practitioner (QSP). A QSP is a person responsible for non-stormwater and storm water visual observations, sampling and </w:t>
            </w:r>
            <w:r>
              <w:t>analysis.</w:t>
            </w:r>
          </w:p>
        </w:tc>
      </w:tr>
      <w:tr w:rsidR="00BA6F3F" w:rsidRPr="00B55F29" w:rsidTr="003217AB">
        <w:trPr>
          <w:trHeight w:val="432"/>
        </w:trPr>
        <w:tc>
          <w:tcPr>
            <w:tcW w:w="2358" w:type="dxa"/>
            <w:noWrap/>
            <w:vAlign w:val="center"/>
          </w:tcPr>
          <w:p w:rsidR="00BA6F3F" w:rsidRPr="00286775" w:rsidRDefault="00BA6F3F" w:rsidP="00742DF1">
            <w:pPr>
              <w:jc w:val="center"/>
              <w:rPr>
                <w:b/>
              </w:rPr>
            </w:pPr>
            <w:r>
              <w:rPr>
                <w:b/>
              </w:rPr>
              <w:t xml:space="preserve">LTP, </w:t>
            </w:r>
            <w:r w:rsidRPr="004C12FD">
              <w:rPr>
                <w:b/>
              </w:rPr>
              <w:t>Order VII.B.</w:t>
            </w:r>
            <w:r w:rsidR="00742DF1">
              <w:rPr>
                <w:b/>
              </w:rPr>
              <w:t>3</w:t>
            </w:r>
            <w:r w:rsidR="00742DF1" w:rsidRPr="004C12FD">
              <w:rPr>
                <w:b/>
              </w:rPr>
              <w:t xml:space="preserve"> </w:t>
            </w:r>
            <w:r w:rsidRPr="004C12FD">
              <w:rPr>
                <w:b/>
              </w:rPr>
              <w:t>SWPPP Certification Requirements</w:t>
            </w:r>
          </w:p>
        </w:tc>
        <w:tc>
          <w:tcPr>
            <w:tcW w:w="12435" w:type="dxa"/>
            <w:vAlign w:val="center"/>
          </w:tcPr>
          <w:p w:rsidR="00742DF1" w:rsidRDefault="00742DF1" w:rsidP="00742DF1">
            <w:pPr>
              <w:ind w:left="72"/>
            </w:pPr>
            <w:r>
              <w:t>The Discharger shall ensure that all BMPs required by this General Permit are implemented by a Qualified SWPPP</w:t>
            </w:r>
          </w:p>
          <w:p w:rsidR="00BA6F3F" w:rsidRDefault="00742DF1" w:rsidP="00742DF1">
            <w:pPr>
              <w:ind w:left="72"/>
            </w:pPr>
            <w:r>
              <w:t>Practitioner (QSP).</w:t>
            </w:r>
          </w:p>
        </w:tc>
      </w:tr>
    </w:tbl>
    <w:p w:rsidR="003217AB" w:rsidRPr="005E2733" w:rsidRDefault="003217AB" w:rsidP="003217AB">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3217AB" w:rsidRPr="00B55F29" w:rsidTr="00A64754">
        <w:trPr>
          <w:trHeight w:val="161"/>
        </w:trPr>
        <w:tc>
          <w:tcPr>
            <w:tcW w:w="2358" w:type="dxa"/>
            <w:noWrap/>
            <w:vAlign w:val="center"/>
          </w:tcPr>
          <w:p w:rsidR="003217AB" w:rsidRDefault="003217AB" w:rsidP="0025087C">
            <w:pPr>
              <w:jc w:val="center"/>
              <w:rPr>
                <w:b/>
              </w:rPr>
            </w:pPr>
          </w:p>
        </w:tc>
        <w:tc>
          <w:tcPr>
            <w:tcW w:w="12435" w:type="dxa"/>
            <w:vAlign w:val="center"/>
          </w:tcPr>
          <w:p w:rsidR="003217AB" w:rsidRPr="00B55F29" w:rsidRDefault="003217AB" w:rsidP="0025087C">
            <w:pPr>
              <w:ind w:left="93"/>
              <w:rPr>
                <w:b/>
                <w:bCs/>
                <w:szCs w:val="18"/>
              </w:rPr>
            </w:pPr>
          </w:p>
        </w:tc>
      </w:tr>
      <w:tr w:rsidR="003217AB" w:rsidRPr="00B55F29" w:rsidTr="0025087C">
        <w:trPr>
          <w:trHeight w:val="432"/>
        </w:trPr>
        <w:tc>
          <w:tcPr>
            <w:tcW w:w="2358" w:type="dxa"/>
            <w:shd w:val="clear" w:color="auto" w:fill="F2F2F2" w:themeFill="background1" w:themeFillShade="F2"/>
            <w:noWrap/>
            <w:vAlign w:val="center"/>
          </w:tcPr>
          <w:p w:rsidR="003217AB" w:rsidRDefault="003217AB" w:rsidP="0025087C">
            <w:pPr>
              <w:jc w:val="center"/>
              <w:rPr>
                <w:b/>
              </w:rPr>
            </w:pPr>
            <w:r>
              <w:rPr>
                <w:b/>
              </w:rPr>
              <w:t>B.2</w:t>
            </w:r>
          </w:p>
        </w:tc>
        <w:tc>
          <w:tcPr>
            <w:tcW w:w="12435" w:type="dxa"/>
            <w:shd w:val="clear" w:color="auto" w:fill="F2F2F2" w:themeFill="background1" w:themeFillShade="F2"/>
            <w:vAlign w:val="center"/>
          </w:tcPr>
          <w:p w:rsidR="003217AB" w:rsidRPr="008E3D79" w:rsidRDefault="003217AB" w:rsidP="006719E8">
            <w:pPr>
              <w:ind w:left="72"/>
              <w:rPr>
                <w:bCs/>
                <w:szCs w:val="18"/>
              </w:rPr>
            </w:pPr>
            <w:r w:rsidRPr="003217AB">
              <w:rPr>
                <w:bCs/>
                <w:szCs w:val="18"/>
              </w:rPr>
              <w:t>Is the contractor conducting the required stormwater training and maintaining adequate records of this training</w:t>
            </w:r>
            <w:r>
              <w:rPr>
                <w:bCs/>
                <w:szCs w:val="18"/>
              </w:rPr>
              <w:t xml:space="preserve"> </w:t>
            </w:r>
            <w:r w:rsidR="006719E8">
              <w:rPr>
                <w:bCs/>
                <w:szCs w:val="18"/>
              </w:rPr>
              <w:t>i</w:t>
            </w:r>
            <w:r>
              <w:rPr>
                <w:bCs/>
                <w:szCs w:val="18"/>
              </w:rPr>
              <w:t xml:space="preserve">n </w:t>
            </w:r>
            <w:r w:rsidR="006719E8">
              <w:rPr>
                <w:bCs/>
                <w:szCs w:val="18"/>
              </w:rPr>
              <w:t xml:space="preserve">the project </w:t>
            </w:r>
            <w:r>
              <w:rPr>
                <w:bCs/>
                <w:szCs w:val="18"/>
              </w:rPr>
              <w:t>file</w:t>
            </w:r>
            <w:r w:rsidR="006719E8">
              <w:rPr>
                <w:bCs/>
                <w:szCs w:val="18"/>
              </w:rPr>
              <w:t>s</w:t>
            </w:r>
            <w:r w:rsidRPr="003217AB">
              <w:rPr>
                <w:bCs/>
                <w:szCs w:val="18"/>
              </w:rPr>
              <w:t>?</w:t>
            </w:r>
          </w:p>
        </w:tc>
      </w:tr>
      <w:tr w:rsidR="003217AB" w:rsidRPr="00B55F29" w:rsidTr="0025087C">
        <w:trPr>
          <w:trHeight w:val="432"/>
        </w:trPr>
        <w:tc>
          <w:tcPr>
            <w:tcW w:w="2358" w:type="dxa"/>
            <w:noWrap/>
            <w:vAlign w:val="center"/>
          </w:tcPr>
          <w:p w:rsidR="003217AB" w:rsidRPr="00D96930" w:rsidRDefault="003217AB" w:rsidP="003217AB">
            <w:pPr>
              <w:jc w:val="center"/>
              <w:rPr>
                <w:b/>
              </w:rPr>
            </w:pPr>
            <w:r w:rsidRPr="00582776">
              <w:rPr>
                <w:b/>
              </w:rPr>
              <w:t>SPECs, 13-</w:t>
            </w:r>
            <w:r>
              <w:rPr>
                <w:b/>
              </w:rPr>
              <w:t>1</w:t>
            </w:r>
            <w:r w:rsidRPr="00582776">
              <w:rPr>
                <w:b/>
              </w:rPr>
              <w:t>.0</w:t>
            </w:r>
            <w:r>
              <w:rPr>
                <w:b/>
              </w:rPr>
              <w:t>1D(2) Training</w:t>
            </w:r>
          </w:p>
        </w:tc>
        <w:tc>
          <w:tcPr>
            <w:tcW w:w="12435" w:type="dxa"/>
            <w:vAlign w:val="center"/>
          </w:tcPr>
          <w:p w:rsidR="003217AB" w:rsidRDefault="003217AB" w:rsidP="0025087C">
            <w:pPr>
              <w:ind w:left="72"/>
            </w:pPr>
            <w:r>
              <w:t>2. Conduct weekly training meetings covering:</w:t>
            </w:r>
          </w:p>
          <w:p w:rsidR="003217AB" w:rsidRDefault="003217AB" w:rsidP="003217AB">
            <w:pPr>
              <w:tabs>
                <w:tab w:val="left" w:pos="5562"/>
              </w:tabs>
              <w:ind w:left="72"/>
            </w:pPr>
            <w:r>
              <w:t>2.1 Deficiencies and corrective actions for water pollution control practices</w:t>
            </w:r>
            <w:r>
              <w:tab/>
              <w:t>2.2 water pollution control pr</w:t>
            </w:r>
            <w:r w:rsidR="00B72386">
              <w:t>a</w:t>
            </w:r>
            <w:r>
              <w:t>ctices</w:t>
            </w:r>
            <w:r w:rsidR="00B72386">
              <w:t xml:space="preserve"> required for work activities during the week</w:t>
            </w:r>
          </w:p>
          <w:p w:rsidR="00B72386" w:rsidRPr="00C0618F" w:rsidRDefault="00B72386" w:rsidP="00B72386">
            <w:pPr>
              <w:tabs>
                <w:tab w:val="left" w:pos="2682"/>
                <w:tab w:val="left" w:pos="6462"/>
              </w:tabs>
              <w:ind w:left="72"/>
            </w:pPr>
            <w:r>
              <w:t>2.3 Spill prevention and control</w:t>
            </w:r>
            <w:r>
              <w:tab/>
              <w:t>2.4 Material delivery, storage, usage, and disposal</w:t>
            </w:r>
            <w:r>
              <w:tab/>
              <w:t>2.5 Waste management</w:t>
            </w:r>
            <w:r>
              <w:tab/>
              <w:t>2.6 Non-stormwater management procedures</w:t>
            </w:r>
          </w:p>
        </w:tc>
      </w:tr>
      <w:tr w:rsidR="003217AB" w:rsidRPr="00B55F29" w:rsidTr="0025087C">
        <w:trPr>
          <w:trHeight w:val="432"/>
        </w:trPr>
        <w:tc>
          <w:tcPr>
            <w:tcW w:w="2358" w:type="dxa"/>
            <w:noWrap/>
            <w:vAlign w:val="center"/>
          </w:tcPr>
          <w:p w:rsidR="003217AB" w:rsidRPr="00D96930" w:rsidRDefault="003217AB" w:rsidP="00B72386">
            <w:pPr>
              <w:jc w:val="center"/>
              <w:rPr>
                <w:b/>
              </w:rPr>
            </w:pPr>
            <w:r w:rsidRPr="00286775">
              <w:rPr>
                <w:b/>
              </w:rPr>
              <w:t xml:space="preserve">CGP, Order </w:t>
            </w:r>
            <w:r>
              <w:rPr>
                <w:b/>
              </w:rPr>
              <w:t>VII</w:t>
            </w:r>
            <w:r w:rsidRPr="00286775">
              <w:rPr>
                <w:b/>
              </w:rPr>
              <w:t>.</w:t>
            </w:r>
            <w:r w:rsidR="00B72386">
              <w:rPr>
                <w:b/>
              </w:rPr>
              <w:t>A General</w:t>
            </w:r>
          </w:p>
        </w:tc>
        <w:tc>
          <w:tcPr>
            <w:tcW w:w="12435" w:type="dxa"/>
            <w:vAlign w:val="center"/>
          </w:tcPr>
          <w:p w:rsidR="003217AB" w:rsidRDefault="00B72386" w:rsidP="00B72386">
            <w:pPr>
              <w:ind w:left="72"/>
            </w:pPr>
            <w:r>
              <w:t>Risk level 1, 2, and 3</w:t>
            </w:r>
            <w:r w:rsidRPr="00AA1A3D">
              <w:t xml:space="preserve"> discharger</w:t>
            </w:r>
            <w:r>
              <w:t>s</w:t>
            </w:r>
            <w:r w:rsidRPr="00AA1A3D">
              <w:t xml:space="preserve"> </w:t>
            </w:r>
            <w:r w:rsidRPr="00B72386">
              <w:t>shall provide documentation of all training for persons responsible for implementing the requirements of this General Permit in the Annual Reports.</w:t>
            </w:r>
            <w:r>
              <w:t xml:space="preserve"> Training should be both formal and informal, occur on an ongoing basis...</w:t>
            </w:r>
          </w:p>
        </w:tc>
      </w:tr>
      <w:tr w:rsidR="003217AB" w:rsidRPr="00B55F29" w:rsidTr="0025087C">
        <w:trPr>
          <w:trHeight w:val="432"/>
        </w:trPr>
        <w:tc>
          <w:tcPr>
            <w:tcW w:w="2358" w:type="dxa"/>
            <w:noWrap/>
            <w:vAlign w:val="center"/>
          </w:tcPr>
          <w:p w:rsidR="003217AB" w:rsidRPr="00286775" w:rsidRDefault="003217AB" w:rsidP="0025087C">
            <w:pPr>
              <w:jc w:val="center"/>
              <w:rPr>
                <w:b/>
              </w:rPr>
            </w:pPr>
            <w:r>
              <w:rPr>
                <w:b/>
              </w:rPr>
              <w:t xml:space="preserve">LTP, </w:t>
            </w:r>
            <w:r w:rsidRPr="004C12FD">
              <w:rPr>
                <w:b/>
              </w:rPr>
              <w:t>Order VII.B.1 SWPPP Certification Requirements</w:t>
            </w:r>
          </w:p>
        </w:tc>
        <w:tc>
          <w:tcPr>
            <w:tcW w:w="12435" w:type="dxa"/>
            <w:vAlign w:val="center"/>
          </w:tcPr>
          <w:p w:rsidR="003217AB" w:rsidRDefault="00B72386" w:rsidP="00B72386">
            <w:pPr>
              <w:ind w:left="72"/>
            </w:pPr>
            <w:r>
              <w:t>Additionally, project SWPPP requirements shall be communicated to all contractor and subcontractor personnel conducting activities that could affect storm water runoff quality. Training may be both formal and informal, as appropriate, and shall at a minimum be provided during pre-construction meetings and regular tailgate meetings conducted during the course of the project.</w:t>
            </w:r>
          </w:p>
        </w:tc>
      </w:tr>
    </w:tbl>
    <w:p w:rsidR="00B72386" w:rsidRPr="005E2733" w:rsidRDefault="00B72386" w:rsidP="00B72386">
      <w:pPr>
        <w:spacing w:after="0"/>
        <w:ind w:left="93"/>
        <w:jc w:val="center"/>
        <w:rPr>
          <w:b/>
          <w:bCs/>
          <w:sz w:val="16"/>
          <w:szCs w:val="16"/>
        </w:rPr>
      </w:pPr>
    </w:p>
    <w:tbl>
      <w:tblPr>
        <w:tblStyle w:val="TableGrid"/>
        <w:tblW w:w="14793" w:type="dxa"/>
        <w:tblLook w:val="04A0" w:firstRow="1" w:lastRow="0" w:firstColumn="1" w:lastColumn="0" w:noHBand="0" w:noVBand="1"/>
      </w:tblPr>
      <w:tblGrid>
        <w:gridCol w:w="2358"/>
        <w:gridCol w:w="12435"/>
      </w:tblGrid>
      <w:tr w:rsidR="00B72386" w:rsidRPr="00B55F29" w:rsidTr="00A64754">
        <w:trPr>
          <w:trHeight w:val="143"/>
        </w:trPr>
        <w:tc>
          <w:tcPr>
            <w:tcW w:w="2358" w:type="dxa"/>
            <w:noWrap/>
            <w:vAlign w:val="center"/>
          </w:tcPr>
          <w:p w:rsidR="00B72386" w:rsidRDefault="00B72386" w:rsidP="0025087C">
            <w:pPr>
              <w:jc w:val="center"/>
              <w:rPr>
                <w:b/>
              </w:rPr>
            </w:pPr>
          </w:p>
        </w:tc>
        <w:tc>
          <w:tcPr>
            <w:tcW w:w="12435" w:type="dxa"/>
            <w:vAlign w:val="center"/>
          </w:tcPr>
          <w:p w:rsidR="00B72386" w:rsidRPr="00B55F29" w:rsidRDefault="00B72386" w:rsidP="0025087C">
            <w:pPr>
              <w:ind w:left="93"/>
              <w:rPr>
                <w:b/>
                <w:bCs/>
                <w:szCs w:val="18"/>
              </w:rPr>
            </w:pPr>
            <w:r w:rsidRPr="00B72386">
              <w:rPr>
                <w:b/>
                <w:bCs/>
                <w:szCs w:val="18"/>
              </w:rPr>
              <w:t>C - SMARTS</w:t>
            </w:r>
          </w:p>
        </w:tc>
      </w:tr>
      <w:tr w:rsidR="00B72386" w:rsidRPr="00B55F29" w:rsidTr="0025087C">
        <w:trPr>
          <w:trHeight w:val="432"/>
        </w:trPr>
        <w:tc>
          <w:tcPr>
            <w:tcW w:w="2358" w:type="dxa"/>
            <w:shd w:val="clear" w:color="auto" w:fill="F2F2F2" w:themeFill="background1" w:themeFillShade="F2"/>
            <w:noWrap/>
            <w:vAlign w:val="center"/>
          </w:tcPr>
          <w:p w:rsidR="00B72386" w:rsidRDefault="00B72386" w:rsidP="00B72386">
            <w:pPr>
              <w:jc w:val="center"/>
              <w:rPr>
                <w:b/>
              </w:rPr>
            </w:pPr>
            <w:r>
              <w:rPr>
                <w:b/>
              </w:rPr>
              <w:t>C.1</w:t>
            </w:r>
          </w:p>
        </w:tc>
        <w:tc>
          <w:tcPr>
            <w:tcW w:w="12435" w:type="dxa"/>
            <w:shd w:val="clear" w:color="auto" w:fill="F2F2F2" w:themeFill="background1" w:themeFillShade="F2"/>
            <w:vAlign w:val="center"/>
          </w:tcPr>
          <w:p w:rsidR="00B72386" w:rsidRPr="008E3D79" w:rsidRDefault="006719E8" w:rsidP="006719E8">
            <w:pPr>
              <w:ind w:left="72"/>
              <w:rPr>
                <w:bCs/>
                <w:szCs w:val="18"/>
              </w:rPr>
            </w:pPr>
            <w:r w:rsidRPr="006719E8">
              <w:rPr>
                <w:bCs/>
                <w:szCs w:val="18"/>
              </w:rPr>
              <w:t xml:space="preserve">Has the </w:t>
            </w:r>
            <w:r>
              <w:rPr>
                <w:bCs/>
                <w:szCs w:val="18"/>
              </w:rPr>
              <w:t xml:space="preserve">Storm Water </w:t>
            </w:r>
            <w:r w:rsidRPr="006719E8">
              <w:rPr>
                <w:bCs/>
                <w:szCs w:val="18"/>
              </w:rPr>
              <w:t xml:space="preserve">Annual </w:t>
            </w:r>
            <w:r>
              <w:rPr>
                <w:bCs/>
                <w:szCs w:val="18"/>
              </w:rPr>
              <w:t xml:space="preserve">Report </w:t>
            </w:r>
            <w:r w:rsidRPr="006719E8">
              <w:rPr>
                <w:bCs/>
                <w:szCs w:val="18"/>
              </w:rPr>
              <w:t xml:space="preserve">been </w:t>
            </w:r>
            <w:r>
              <w:rPr>
                <w:bCs/>
                <w:szCs w:val="18"/>
              </w:rPr>
              <w:t>developed and submitted (in the project files) for the last reporting year as required</w:t>
            </w:r>
            <w:r w:rsidRPr="006719E8">
              <w:rPr>
                <w:bCs/>
                <w:szCs w:val="18"/>
              </w:rPr>
              <w:t>?</w:t>
            </w:r>
          </w:p>
        </w:tc>
      </w:tr>
      <w:tr w:rsidR="00B72386" w:rsidRPr="00B55F29" w:rsidTr="0025087C">
        <w:trPr>
          <w:trHeight w:val="432"/>
        </w:trPr>
        <w:tc>
          <w:tcPr>
            <w:tcW w:w="2358" w:type="dxa"/>
            <w:noWrap/>
            <w:vAlign w:val="center"/>
          </w:tcPr>
          <w:p w:rsidR="00B72386" w:rsidRPr="00D96930" w:rsidRDefault="00B72386" w:rsidP="005437F5">
            <w:pPr>
              <w:jc w:val="center"/>
              <w:rPr>
                <w:b/>
              </w:rPr>
            </w:pPr>
            <w:r w:rsidRPr="00582776">
              <w:rPr>
                <w:b/>
              </w:rPr>
              <w:t>SPECs, 13-</w:t>
            </w:r>
            <w:r w:rsidR="005437F5">
              <w:rPr>
                <w:b/>
              </w:rPr>
              <w:t>3</w:t>
            </w:r>
            <w:r w:rsidRPr="00582776">
              <w:rPr>
                <w:b/>
              </w:rPr>
              <w:t>.0</w:t>
            </w:r>
            <w:r>
              <w:rPr>
                <w:b/>
              </w:rPr>
              <w:t>1</w:t>
            </w:r>
            <w:r w:rsidR="005437F5">
              <w:rPr>
                <w:b/>
              </w:rPr>
              <w:t>B</w:t>
            </w:r>
            <w:r>
              <w:rPr>
                <w:b/>
              </w:rPr>
              <w:t>(</w:t>
            </w:r>
            <w:r w:rsidR="005437F5">
              <w:rPr>
                <w:b/>
              </w:rPr>
              <w:t>8</w:t>
            </w:r>
            <w:r>
              <w:rPr>
                <w:b/>
              </w:rPr>
              <w:t xml:space="preserve">) </w:t>
            </w:r>
            <w:r w:rsidR="005437F5">
              <w:rPr>
                <w:b/>
              </w:rPr>
              <w:t>Storm Water Annual Report</w:t>
            </w:r>
          </w:p>
        </w:tc>
        <w:tc>
          <w:tcPr>
            <w:tcW w:w="12435" w:type="dxa"/>
            <w:vAlign w:val="center"/>
          </w:tcPr>
          <w:p w:rsidR="00B72386" w:rsidRPr="00C0618F" w:rsidRDefault="005437F5" w:rsidP="00027826">
            <w:pPr>
              <w:ind w:left="72"/>
            </w:pPr>
            <w:r>
              <w:t>Submit the storm water annual report before July 15</w:t>
            </w:r>
            <w:r w:rsidRPr="005437F5">
              <w:rPr>
                <w:vertAlign w:val="superscript"/>
              </w:rPr>
              <w:t>th</w:t>
            </w:r>
            <w:r>
              <w:t xml:space="preserve"> if construction occurs</w:t>
            </w:r>
            <w:r w:rsidR="00A5204F">
              <w:t xml:space="preserve"> from July 1</w:t>
            </w:r>
            <w:r w:rsidR="00A5204F" w:rsidRPr="00A5204F">
              <w:rPr>
                <w:vertAlign w:val="superscript"/>
              </w:rPr>
              <w:t>st</w:t>
            </w:r>
            <w:r w:rsidR="00A5204F">
              <w:t xml:space="preserve"> through June</w:t>
            </w:r>
            <w:r w:rsidR="00027826">
              <w:t xml:space="preserve"> 30th</w:t>
            </w:r>
            <w:r w:rsidR="00A5204F">
              <w:t xml:space="preserve"> or within 15 days after the Contract acceptance if construction ends before June 30</w:t>
            </w:r>
            <w:r w:rsidR="00A5204F" w:rsidRPr="00A5204F">
              <w:rPr>
                <w:vertAlign w:val="superscript"/>
              </w:rPr>
              <w:t>th</w:t>
            </w:r>
            <w:r w:rsidR="00A5204F">
              <w:t>.</w:t>
            </w:r>
          </w:p>
        </w:tc>
      </w:tr>
      <w:tr w:rsidR="00B72386" w:rsidRPr="00B55F29" w:rsidTr="0025087C">
        <w:trPr>
          <w:trHeight w:val="432"/>
        </w:trPr>
        <w:tc>
          <w:tcPr>
            <w:tcW w:w="2358" w:type="dxa"/>
            <w:noWrap/>
            <w:vAlign w:val="center"/>
          </w:tcPr>
          <w:p w:rsidR="00B72386" w:rsidRPr="00D96930" w:rsidRDefault="00B72386" w:rsidP="00A5204F">
            <w:pPr>
              <w:jc w:val="center"/>
              <w:rPr>
                <w:b/>
              </w:rPr>
            </w:pPr>
            <w:r w:rsidRPr="00286775">
              <w:rPr>
                <w:b/>
              </w:rPr>
              <w:t xml:space="preserve">CGP, Order </w:t>
            </w:r>
            <w:r w:rsidR="00A5204F">
              <w:rPr>
                <w:b/>
              </w:rPr>
              <w:t>X</w:t>
            </w:r>
            <w:r>
              <w:rPr>
                <w:b/>
              </w:rPr>
              <w:t>VI</w:t>
            </w:r>
            <w:r w:rsidR="00A5204F">
              <w:rPr>
                <w:b/>
              </w:rPr>
              <w:t xml:space="preserve"> Annual Reporting Requirements</w:t>
            </w:r>
          </w:p>
        </w:tc>
        <w:tc>
          <w:tcPr>
            <w:tcW w:w="12435" w:type="dxa"/>
            <w:vAlign w:val="center"/>
          </w:tcPr>
          <w:p w:rsidR="00B72386" w:rsidRDefault="00A5204F" w:rsidP="00A5204F">
            <w:pPr>
              <w:ind w:left="72"/>
            </w:pPr>
            <w:r>
              <w:t>A. Risk level 1, 2, and 3</w:t>
            </w:r>
            <w:r w:rsidRPr="00AA1A3D">
              <w:t xml:space="preserve"> discharger</w:t>
            </w:r>
            <w:r>
              <w:t>s</w:t>
            </w:r>
            <w:r w:rsidRPr="00AA1A3D">
              <w:t xml:space="preserve"> </w:t>
            </w:r>
            <w:r>
              <w:t>shall prepare and electronically submit an Annual Report no later than September 1 of each year.</w:t>
            </w:r>
          </w:p>
        </w:tc>
      </w:tr>
      <w:tr w:rsidR="00B72386" w:rsidRPr="00B55F29" w:rsidTr="0025087C">
        <w:trPr>
          <w:trHeight w:val="432"/>
        </w:trPr>
        <w:tc>
          <w:tcPr>
            <w:tcW w:w="2358" w:type="dxa"/>
            <w:noWrap/>
            <w:vAlign w:val="center"/>
          </w:tcPr>
          <w:p w:rsidR="00B72386" w:rsidRPr="00286775" w:rsidRDefault="00B72386" w:rsidP="002A6706">
            <w:pPr>
              <w:jc w:val="center"/>
              <w:rPr>
                <w:b/>
              </w:rPr>
            </w:pPr>
            <w:r>
              <w:rPr>
                <w:b/>
              </w:rPr>
              <w:t xml:space="preserve">LTP, </w:t>
            </w:r>
            <w:r w:rsidR="00A5204F">
              <w:rPr>
                <w:b/>
              </w:rPr>
              <w:t>Attachment C</w:t>
            </w:r>
            <w:r w:rsidR="002A6706">
              <w:rPr>
                <w:b/>
              </w:rPr>
              <w:t>.</w:t>
            </w:r>
            <w:r w:rsidRPr="004C12FD">
              <w:rPr>
                <w:b/>
              </w:rPr>
              <w:t xml:space="preserve">VII </w:t>
            </w:r>
            <w:r w:rsidR="002A6706">
              <w:rPr>
                <w:b/>
              </w:rPr>
              <w:t>Annual Report</w:t>
            </w:r>
          </w:p>
        </w:tc>
        <w:tc>
          <w:tcPr>
            <w:tcW w:w="12435" w:type="dxa"/>
            <w:vAlign w:val="center"/>
          </w:tcPr>
          <w:p w:rsidR="00B72386" w:rsidRDefault="002A6706" w:rsidP="002A6706">
            <w:pPr>
              <w:ind w:left="72"/>
            </w:pPr>
            <w:r>
              <w:t>On or before November 30 of each year, the discharger shall prepare and electronically submit through the SMARTS an Annual Report for the period of October 16 of the previous year through October 15 of the current year.</w:t>
            </w:r>
          </w:p>
        </w:tc>
      </w:tr>
      <w:tr w:rsidR="00027826" w:rsidRPr="00B55F29" w:rsidTr="00A64754">
        <w:trPr>
          <w:trHeight w:val="161"/>
        </w:trPr>
        <w:tc>
          <w:tcPr>
            <w:tcW w:w="2358" w:type="dxa"/>
            <w:noWrap/>
            <w:vAlign w:val="center"/>
          </w:tcPr>
          <w:p w:rsidR="00027826" w:rsidRDefault="00027826" w:rsidP="0025087C">
            <w:pPr>
              <w:jc w:val="center"/>
              <w:rPr>
                <w:b/>
              </w:rPr>
            </w:pPr>
          </w:p>
        </w:tc>
        <w:tc>
          <w:tcPr>
            <w:tcW w:w="12435" w:type="dxa"/>
            <w:vAlign w:val="center"/>
          </w:tcPr>
          <w:p w:rsidR="00027826" w:rsidRPr="00B55F29" w:rsidRDefault="00F102C2" w:rsidP="0025087C">
            <w:pPr>
              <w:ind w:left="93"/>
              <w:rPr>
                <w:b/>
                <w:bCs/>
                <w:szCs w:val="18"/>
              </w:rPr>
            </w:pPr>
            <w:r>
              <w:rPr>
                <w:b/>
                <w:bCs/>
                <w:szCs w:val="18"/>
              </w:rPr>
              <w:t>D – Active Treatment System</w:t>
            </w:r>
            <w:r w:rsidRPr="00F102C2">
              <w:rPr>
                <w:b/>
                <w:bCs/>
                <w:szCs w:val="18"/>
              </w:rPr>
              <w:t xml:space="preserve"> (ATS)</w:t>
            </w:r>
          </w:p>
        </w:tc>
      </w:tr>
      <w:tr w:rsidR="00027826" w:rsidRPr="00B55F29" w:rsidTr="0025087C">
        <w:trPr>
          <w:trHeight w:val="432"/>
        </w:trPr>
        <w:tc>
          <w:tcPr>
            <w:tcW w:w="2358" w:type="dxa"/>
            <w:shd w:val="clear" w:color="auto" w:fill="F2F2F2" w:themeFill="background1" w:themeFillShade="F2"/>
            <w:noWrap/>
            <w:vAlign w:val="center"/>
          </w:tcPr>
          <w:p w:rsidR="00027826" w:rsidRDefault="00F102C2" w:rsidP="00F102C2">
            <w:pPr>
              <w:jc w:val="center"/>
              <w:rPr>
                <w:b/>
              </w:rPr>
            </w:pPr>
            <w:r>
              <w:rPr>
                <w:b/>
              </w:rPr>
              <w:t>D</w:t>
            </w:r>
            <w:r w:rsidR="00027826">
              <w:rPr>
                <w:b/>
              </w:rPr>
              <w:t>.1</w:t>
            </w:r>
          </w:p>
        </w:tc>
        <w:tc>
          <w:tcPr>
            <w:tcW w:w="12435" w:type="dxa"/>
            <w:shd w:val="clear" w:color="auto" w:fill="F2F2F2" w:themeFill="background1" w:themeFillShade="F2"/>
            <w:vAlign w:val="center"/>
          </w:tcPr>
          <w:p w:rsidR="00027826" w:rsidRPr="008E3D79" w:rsidRDefault="00027826" w:rsidP="00027826">
            <w:pPr>
              <w:ind w:left="72"/>
              <w:rPr>
                <w:bCs/>
                <w:szCs w:val="18"/>
              </w:rPr>
            </w:pPr>
            <w:r w:rsidRPr="00027826">
              <w:rPr>
                <w:bCs/>
                <w:szCs w:val="18"/>
              </w:rPr>
              <w:t xml:space="preserve">For projects that use </w:t>
            </w:r>
            <w:r>
              <w:rPr>
                <w:bCs/>
                <w:szCs w:val="18"/>
              </w:rPr>
              <w:t xml:space="preserve">an </w:t>
            </w:r>
            <w:r w:rsidRPr="00027826">
              <w:rPr>
                <w:bCs/>
                <w:szCs w:val="18"/>
              </w:rPr>
              <w:t xml:space="preserve">ATS, </w:t>
            </w:r>
            <w:r>
              <w:rPr>
                <w:bCs/>
                <w:szCs w:val="18"/>
              </w:rPr>
              <w:t>has the ATS been designed and is operated by qualified personnel, and do reporting requirements appear to be up to date</w:t>
            </w:r>
            <w:r w:rsidR="003950DA">
              <w:rPr>
                <w:bCs/>
                <w:szCs w:val="18"/>
              </w:rPr>
              <w:t xml:space="preserve"> and documented in the project files?</w:t>
            </w:r>
          </w:p>
        </w:tc>
      </w:tr>
      <w:tr w:rsidR="00027826" w:rsidRPr="00B55F29" w:rsidTr="0025087C">
        <w:trPr>
          <w:trHeight w:val="432"/>
        </w:trPr>
        <w:tc>
          <w:tcPr>
            <w:tcW w:w="2358" w:type="dxa"/>
            <w:noWrap/>
            <w:vAlign w:val="center"/>
          </w:tcPr>
          <w:p w:rsidR="00027826" w:rsidRPr="00D96930" w:rsidRDefault="00027826" w:rsidP="00027826">
            <w:pPr>
              <w:jc w:val="center"/>
              <w:rPr>
                <w:b/>
              </w:rPr>
            </w:pPr>
            <w:r w:rsidRPr="00582776">
              <w:rPr>
                <w:b/>
              </w:rPr>
              <w:t>SPECs, 13-</w:t>
            </w:r>
            <w:r>
              <w:rPr>
                <w:b/>
              </w:rPr>
              <w:t>8</w:t>
            </w:r>
            <w:r w:rsidRPr="00582776">
              <w:rPr>
                <w:b/>
              </w:rPr>
              <w:t>.0</w:t>
            </w:r>
            <w:r>
              <w:rPr>
                <w:b/>
              </w:rPr>
              <w:t>1A Summary</w:t>
            </w:r>
          </w:p>
        </w:tc>
        <w:tc>
          <w:tcPr>
            <w:tcW w:w="12435" w:type="dxa"/>
            <w:vAlign w:val="center"/>
          </w:tcPr>
          <w:p w:rsidR="00027826" w:rsidRPr="00C0618F" w:rsidRDefault="00027826" w:rsidP="00F102C2">
            <w:pPr>
              <w:ind w:left="72"/>
            </w:pPr>
            <w:r>
              <w:t>Design, installation, operation, and monitoring of an ATS</w:t>
            </w:r>
            <w:r w:rsidR="00F102C2">
              <w:t xml:space="preserve"> and monitoring of the treated effluent must comply with Attachment F of NPDES General Permit for Stormwater Discharges Associated with Construction and Land Disturbance Activities (Order No. 2009-0009-DWQ, NPDES no. CAS000002)</w:t>
            </w:r>
            <w:r>
              <w:t>.</w:t>
            </w:r>
          </w:p>
        </w:tc>
      </w:tr>
      <w:tr w:rsidR="00D066E1" w:rsidRPr="00B55F29" w:rsidTr="0025087C">
        <w:trPr>
          <w:trHeight w:val="432"/>
        </w:trPr>
        <w:tc>
          <w:tcPr>
            <w:tcW w:w="2358" w:type="dxa"/>
            <w:vMerge w:val="restart"/>
            <w:noWrap/>
            <w:vAlign w:val="center"/>
          </w:tcPr>
          <w:p w:rsidR="00D066E1" w:rsidRPr="00D96930" w:rsidRDefault="00D066E1" w:rsidP="00D066E1">
            <w:pPr>
              <w:spacing w:after="120"/>
              <w:jc w:val="center"/>
              <w:rPr>
                <w:b/>
              </w:rPr>
            </w:pPr>
            <w:r w:rsidRPr="00286775">
              <w:rPr>
                <w:b/>
              </w:rPr>
              <w:t xml:space="preserve">CGP, </w:t>
            </w:r>
            <w:r>
              <w:rPr>
                <w:b/>
              </w:rPr>
              <w:t>Attachment F.C ATS Design, Operation, and Submittals</w:t>
            </w:r>
          </w:p>
          <w:p w:rsidR="00D066E1" w:rsidRPr="00D96930" w:rsidRDefault="00D066E1" w:rsidP="00742DF1">
            <w:pPr>
              <w:jc w:val="center"/>
              <w:rPr>
                <w:b/>
              </w:rPr>
            </w:pPr>
            <w:r w:rsidRPr="00286775">
              <w:rPr>
                <w:b/>
              </w:rPr>
              <w:t xml:space="preserve">CGP, </w:t>
            </w:r>
            <w:r>
              <w:rPr>
                <w:b/>
              </w:rPr>
              <w:t>Attachment F.</w:t>
            </w:r>
            <w:r w:rsidRPr="00D634E7">
              <w:rPr>
                <w:b/>
              </w:rPr>
              <w:t>M Active Treatment System (ATS) Monitoring Requirements</w:t>
            </w:r>
          </w:p>
        </w:tc>
        <w:tc>
          <w:tcPr>
            <w:tcW w:w="12435" w:type="dxa"/>
            <w:vAlign w:val="center"/>
          </w:tcPr>
          <w:p w:rsidR="00D066E1" w:rsidRDefault="00D066E1" w:rsidP="00D634E7">
            <w:pPr>
              <w:ind w:left="72"/>
            </w:pPr>
            <w:r>
              <w:t>1. The ATS shall be designed and approved by a Certified Professional in Erosion and Sediment Control (CPESC), a Certified Professional in Storm Water Quality (CPSWQ); a California registered civil engineer; or any other California registered engineer.</w:t>
            </w:r>
          </w:p>
          <w:p w:rsidR="00D066E1" w:rsidRDefault="00D066E1" w:rsidP="00D634E7">
            <w:pPr>
              <w:ind w:left="72"/>
            </w:pPr>
            <w:r>
              <w:t>4. The discharger shall install and operate an ATS by assigning a lead person (or project manager) who has either a minimum of five years construction storm water experience or who is a licensed contractor specifically holding a California Class A Contractors license.</w:t>
            </w:r>
          </w:p>
        </w:tc>
      </w:tr>
      <w:tr w:rsidR="00D066E1" w:rsidRPr="00B55F29" w:rsidTr="0025087C">
        <w:trPr>
          <w:trHeight w:val="432"/>
        </w:trPr>
        <w:tc>
          <w:tcPr>
            <w:tcW w:w="2358" w:type="dxa"/>
            <w:vMerge/>
            <w:noWrap/>
            <w:vAlign w:val="center"/>
          </w:tcPr>
          <w:p w:rsidR="00D066E1" w:rsidRPr="00286775" w:rsidRDefault="00D066E1" w:rsidP="00D634E7">
            <w:pPr>
              <w:jc w:val="center"/>
              <w:rPr>
                <w:b/>
              </w:rPr>
            </w:pPr>
          </w:p>
        </w:tc>
        <w:tc>
          <w:tcPr>
            <w:tcW w:w="12435" w:type="dxa"/>
            <w:vAlign w:val="center"/>
          </w:tcPr>
          <w:p w:rsidR="00D066E1" w:rsidRDefault="00D066E1" w:rsidP="008F4E90">
            <w:pPr>
              <w:tabs>
                <w:tab w:val="left" w:pos="1962"/>
                <w:tab w:val="left" w:pos="5202"/>
                <w:tab w:val="left" w:pos="7092"/>
                <w:tab w:val="left" w:pos="9702"/>
              </w:tabs>
              <w:ind w:left="72"/>
            </w:pPr>
            <w:r>
              <w:t>1. Visual Monitoring</w:t>
            </w:r>
            <w:r>
              <w:tab/>
              <w:t xml:space="preserve">2. </w:t>
            </w:r>
            <w:r w:rsidRPr="008F4E90">
              <w:t>Operational and Compliance Monitoring</w:t>
            </w:r>
            <w:r>
              <w:tab/>
              <w:t xml:space="preserve">3. </w:t>
            </w:r>
            <w:r w:rsidRPr="008F4E90">
              <w:t>Toxicity Monitoring</w:t>
            </w:r>
            <w:r>
              <w:tab/>
              <w:t xml:space="preserve">4. </w:t>
            </w:r>
            <w:r w:rsidRPr="008F4E90">
              <w:t>Reporting and Recordkeeping</w:t>
            </w:r>
            <w:r>
              <w:tab/>
              <w:t xml:space="preserve">5. </w:t>
            </w:r>
            <w:r w:rsidRPr="008F4E90">
              <w:t>Non-compliance Reporting</w:t>
            </w:r>
          </w:p>
        </w:tc>
      </w:tr>
      <w:tr w:rsidR="00D066E1" w:rsidRPr="00B55F29" w:rsidTr="0025087C">
        <w:trPr>
          <w:trHeight w:val="432"/>
        </w:trPr>
        <w:tc>
          <w:tcPr>
            <w:tcW w:w="2358" w:type="dxa"/>
            <w:vMerge w:val="restart"/>
            <w:noWrap/>
            <w:vAlign w:val="center"/>
          </w:tcPr>
          <w:p w:rsidR="00D066E1" w:rsidRPr="00D96930" w:rsidRDefault="00D066E1" w:rsidP="00D404B8">
            <w:pPr>
              <w:spacing w:before="120" w:after="120"/>
              <w:jc w:val="center"/>
              <w:rPr>
                <w:b/>
              </w:rPr>
            </w:pPr>
            <w:r>
              <w:rPr>
                <w:b/>
              </w:rPr>
              <w:t>LTP, Attachment E.C ATS Design, Operation, and Submittals</w:t>
            </w:r>
            <w:r w:rsidRPr="00D96930">
              <w:rPr>
                <w:b/>
              </w:rPr>
              <w:t xml:space="preserve"> </w:t>
            </w:r>
          </w:p>
          <w:p w:rsidR="00D066E1" w:rsidRPr="00286775" w:rsidRDefault="00D066E1" w:rsidP="00D066E1">
            <w:pPr>
              <w:jc w:val="center"/>
              <w:rPr>
                <w:b/>
              </w:rPr>
            </w:pPr>
            <w:r>
              <w:rPr>
                <w:b/>
              </w:rPr>
              <w:t>LT</w:t>
            </w:r>
            <w:r w:rsidRPr="00286775">
              <w:rPr>
                <w:b/>
              </w:rPr>
              <w:t xml:space="preserve">P, </w:t>
            </w:r>
            <w:r>
              <w:rPr>
                <w:b/>
              </w:rPr>
              <w:t>Attachment E.</w:t>
            </w:r>
            <w:r w:rsidR="00742DF1">
              <w:rPr>
                <w:b/>
              </w:rPr>
              <w:t>M</w:t>
            </w:r>
            <w:r w:rsidRPr="00D634E7">
              <w:rPr>
                <w:b/>
              </w:rPr>
              <w:t xml:space="preserve"> Active Treatment System (ATS) Monitoring Requirements</w:t>
            </w:r>
          </w:p>
        </w:tc>
        <w:tc>
          <w:tcPr>
            <w:tcW w:w="12435" w:type="dxa"/>
            <w:vAlign w:val="center"/>
          </w:tcPr>
          <w:p w:rsidR="00D066E1" w:rsidRDefault="00D066E1" w:rsidP="00D634E7">
            <w:pPr>
              <w:ind w:left="72"/>
            </w:pPr>
            <w:r>
              <w:t>1. The ATS shall be designed and approved by a Certified Professional in Erosion and Sediment Control (CPESC), a Certified Professional in Storm Water Quality (CPSWQ); a California registered civil engineer; or any other California registered engineer.</w:t>
            </w:r>
          </w:p>
          <w:p w:rsidR="00D066E1" w:rsidRDefault="00D066E1" w:rsidP="00D634E7">
            <w:pPr>
              <w:ind w:left="72"/>
            </w:pPr>
            <w:r>
              <w:t>4. The discharger shall install and operate an ATS by assigning a lead person (or project manager) who has either a minimum of five years construction storm water experience or who is a licensed contractor specifically holding a California Class A Contractors license.</w:t>
            </w:r>
          </w:p>
        </w:tc>
      </w:tr>
      <w:tr w:rsidR="00D066E1" w:rsidRPr="00B55F29" w:rsidTr="0025087C">
        <w:trPr>
          <w:trHeight w:val="432"/>
        </w:trPr>
        <w:tc>
          <w:tcPr>
            <w:tcW w:w="2358" w:type="dxa"/>
            <w:vMerge/>
            <w:noWrap/>
            <w:vAlign w:val="center"/>
          </w:tcPr>
          <w:p w:rsidR="00D066E1" w:rsidRDefault="00D066E1" w:rsidP="00D634E7">
            <w:pPr>
              <w:jc w:val="center"/>
              <w:rPr>
                <w:b/>
              </w:rPr>
            </w:pPr>
          </w:p>
        </w:tc>
        <w:tc>
          <w:tcPr>
            <w:tcW w:w="12435" w:type="dxa"/>
            <w:vAlign w:val="center"/>
          </w:tcPr>
          <w:p w:rsidR="00D066E1" w:rsidRDefault="00D066E1" w:rsidP="0025087C">
            <w:pPr>
              <w:tabs>
                <w:tab w:val="left" w:pos="1962"/>
                <w:tab w:val="left" w:pos="5202"/>
                <w:tab w:val="left" w:pos="7092"/>
                <w:tab w:val="left" w:pos="9702"/>
              </w:tabs>
              <w:ind w:left="72"/>
            </w:pPr>
            <w:r>
              <w:t>1. Visual Monitoring</w:t>
            </w:r>
            <w:r>
              <w:tab/>
              <w:t xml:space="preserve">2. </w:t>
            </w:r>
            <w:r w:rsidRPr="008F4E90">
              <w:t>Operational and Compliance Monitoring</w:t>
            </w:r>
            <w:r>
              <w:tab/>
              <w:t xml:space="preserve">3. </w:t>
            </w:r>
            <w:r w:rsidRPr="008F4E90">
              <w:t>Toxicity Monitoring</w:t>
            </w:r>
            <w:r>
              <w:tab/>
              <w:t xml:space="preserve">4. </w:t>
            </w:r>
            <w:r w:rsidRPr="008F4E90">
              <w:t>Reporting and Recordkeeping</w:t>
            </w:r>
            <w:r>
              <w:tab/>
              <w:t xml:space="preserve">5. </w:t>
            </w:r>
            <w:r w:rsidRPr="008F4E90">
              <w:t>Non-compliance Reporting</w:t>
            </w:r>
          </w:p>
        </w:tc>
      </w:tr>
    </w:tbl>
    <w:p w:rsidR="006125F2" w:rsidRDefault="006125F2" w:rsidP="003950DA">
      <w:pPr>
        <w:spacing w:after="0"/>
        <w:ind w:left="93"/>
        <w:jc w:val="center"/>
        <w:rPr>
          <w:b/>
          <w:bCs/>
          <w:sz w:val="16"/>
          <w:szCs w:val="16"/>
        </w:rPr>
      </w:pPr>
      <w:r>
        <w:rPr>
          <w:b/>
          <w:bCs/>
          <w:sz w:val="16"/>
          <w:szCs w:val="16"/>
        </w:rPr>
        <w:br w:type="page"/>
      </w:r>
    </w:p>
    <w:tbl>
      <w:tblPr>
        <w:tblStyle w:val="TableGrid"/>
        <w:tblW w:w="14793" w:type="dxa"/>
        <w:tblLook w:val="04A0" w:firstRow="1" w:lastRow="0" w:firstColumn="1" w:lastColumn="0" w:noHBand="0" w:noVBand="1"/>
      </w:tblPr>
      <w:tblGrid>
        <w:gridCol w:w="2358"/>
        <w:gridCol w:w="7470"/>
        <w:gridCol w:w="4965"/>
      </w:tblGrid>
      <w:tr w:rsidR="003950DA" w:rsidRPr="00B55F29" w:rsidTr="00A64754">
        <w:trPr>
          <w:trHeight w:val="224"/>
        </w:trPr>
        <w:tc>
          <w:tcPr>
            <w:tcW w:w="2358" w:type="dxa"/>
            <w:noWrap/>
            <w:vAlign w:val="center"/>
          </w:tcPr>
          <w:p w:rsidR="003950DA" w:rsidRDefault="003950DA" w:rsidP="0025087C">
            <w:pPr>
              <w:jc w:val="center"/>
              <w:rPr>
                <w:b/>
              </w:rPr>
            </w:pPr>
          </w:p>
        </w:tc>
        <w:tc>
          <w:tcPr>
            <w:tcW w:w="12435" w:type="dxa"/>
            <w:gridSpan w:val="2"/>
            <w:vAlign w:val="center"/>
          </w:tcPr>
          <w:p w:rsidR="003950DA" w:rsidRPr="00B55F29" w:rsidRDefault="003950DA" w:rsidP="00872CCD">
            <w:pPr>
              <w:ind w:left="93"/>
              <w:rPr>
                <w:b/>
                <w:bCs/>
                <w:szCs w:val="18"/>
              </w:rPr>
            </w:pPr>
            <w:r w:rsidRPr="003950DA">
              <w:rPr>
                <w:b/>
                <w:bCs/>
                <w:szCs w:val="18"/>
              </w:rPr>
              <w:t>E - Monitoring</w:t>
            </w:r>
            <w:r w:rsidR="00872CCD">
              <w:rPr>
                <w:b/>
                <w:bCs/>
                <w:szCs w:val="18"/>
              </w:rPr>
              <w:t xml:space="preserve"> and Reporting</w:t>
            </w:r>
            <w:bookmarkStart w:id="0" w:name="_GoBack"/>
            <w:bookmarkEnd w:id="0"/>
          </w:p>
        </w:tc>
      </w:tr>
      <w:tr w:rsidR="006A6109" w:rsidRPr="00B55F29" w:rsidTr="006A6109">
        <w:trPr>
          <w:trHeight w:val="432"/>
        </w:trPr>
        <w:tc>
          <w:tcPr>
            <w:tcW w:w="2358" w:type="dxa"/>
            <w:shd w:val="clear" w:color="auto" w:fill="F2F2F2" w:themeFill="background1" w:themeFillShade="F2"/>
            <w:noWrap/>
            <w:vAlign w:val="center"/>
          </w:tcPr>
          <w:p w:rsidR="006A6109" w:rsidRDefault="006A6109" w:rsidP="003950DA">
            <w:pPr>
              <w:jc w:val="center"/>
              <w:rPr>
                <w:b/>
              </w:rPr>
            </w:pPr>
            <w:r>
              <w:rPr>
                <w:b/>
              </w:rPr>
              <w:t>E.1</w:t>
            </w:r>
          </w:p>
        </w:tc>
        <w:tc>
          <w:tcPr>
            <w:tcW w:w="7470" w:type="dxa"/>
            <w:shd w:val="clear" w:color="auto" w:fill="F2F2F2" w:themeFill="background1" w:themeFillShade="F2"/>
            <w:vAlign w:val="center"/>
          </w:tcPr>
          <w:p w:rsidR="006A6109" w:rsidRPr="008E3D79" w:rsidRDefault="006A6109" w:rsidP="003950DA">
            <w:pPr>
              <w:ind w:left="72"/>
              <w:rPr>
                <w:bCs/>
                <w:szCs w:val="18"/>
              </w:rPr>
            </w:pPr>
            <w:r w:rsidRPr="003950DA">
              <w:rPr>
                <w:bCs/>
                <w:szCs w:val="18"/>
              </w:rPr>
              <w:t xml:space="preserve">Are </w:t>
            </w:r>
            <w:r>
              <w:rPr>
                <w:bCs/>
                <w:szCs w:val="18"/>
              </w:rPr>
              <w:t>inspections, monitoring, and reporting procedures performed as required do</w:t>
            </w:r>
            <w:r w:rsidRPr="003950DA">
              <w:rPr>
                <w:bCs/>
                <w:szCs w:val="18"/>
              </w:rPr>
              <w:t>cumented in the project files?</w:t>
            </w:r>
          </w:p>
        </w:tc>
        <w:tc>
          <w:tcPr>
            <w:tcW w:w="4965" w:type="dxa"/>
            <w:shd w:val="clear" w:color="auto" w:fill="F2F2F2" w:themeFill="background1" w:themeFillShade="F2"/>
            <w:vAlign w:val="center"/>
          </w:tcPr>
          <w:p w:rsidR="006A6109" w:rsidRDefault="006A6109" w:rsidP="006A6109">
            <w:pPr>
              <w:ind w:left="72"/>
              <w:jc w:val="center"/>
              <w:rPr>
                <w:b/>
                <w:bCs/>
                <w:szCs w:val="18"/>
              </w:rPr>
            </w:pPr>
            <w:r w:rsidRPr="004C12FD">
              <w:rPr>
                <w:b/>
                <w:bCs/>
                <w:szCs w:val="18"/>
              </w:rPr>
              <w:t>This question has nothing to do</w:t>
            </w:r>
            <w:r>
              <w:rPr>
                <w:b/>
                <w:bCs/>
                <w:szCs w:val="18"/>
              </w:rPr>
              <w:t xml:space="preserve"> with the adequacy</w:t>
            </w:r>
          </w:p>
          <w:p w:rsidR="006A6109" w:rsidRPr="008E3D79" w:rsidRDefault="006A6109" w:rsidP="006A6109">
            <w:pPr>
              <w:ind w:left="72"/>
              <w:jc w:val="center"/>
              <w:rPr>
                <w:bCs/>
                <w:szCs w:val="18"/>
              </w:rPr>
            </w:pPr>
            <w:r>
              <w:rPr>
                <w:b/>
                <w:bCs/>
                <w:szCs w:val="18"/>
              </w:rPr>
              <w:t>of the various reports</w:t>
            </w:r>
            <w:r w:rsidRPr="004C12FD">
              <w:rPr>
                <w:b/>
                <w:bCs/>
                <w:szCs w:val="18"/>
              </w:rPr>
              <w:t>.</w:t>
            </w:r>
          </w:p>
        </w:tc>
      </w:tr>
      <w:tr w:rsidR="006077AA" w:rsidRPr="00B55F29" w:rsidTr="00164AF1">
        <w:trPr>
          <w:trHeight w:val="629"/>
        </w:trPr>
        <w:tc>
          <w:tcPr>
            <w:tcW w:w="2358" w:type="dxa"/>
            <w:vMerge w:val="restart"/>
            <w:noWrap/>
            <w:vAlign w:val="center"/>
          </w:tcPr>
          <w:p w:rsidR="006077AA" w:rsidRDefault="006077AA" w:rsidP="00164AF1">
            <w:pPr>
              <w:spacing w:before="120" w:after="360"/>
              <w:jc w:val="center"/>
              <w:rPr>
                <w:b/>
              </w:rPr>
            </w:pPr>
            <w:r w:rsidRPr="00582776">
              <w:rPr>
                <w:b/>
              </w:rPr>
              <w:t>SPECs, 13-</w:t>
            </w:r>
            <w:r>
              <w:rPr>
                <w:b/>
              </w:rPr>
              <w:t>3</w:t>
            </w:r>
            <w:r w:rsidRPr="00582776">
              <w:rPr>
                <w:b/>
              </w:rPr>
              <w:t>.0</w:t>
            </w:r>
            <w:r>
              <w:rPr>
                <w:b/>
              </w:rPr>
              <w:t>1B(4) Site Inspection Reports</w:t>
            </w:r>
          </w:p>
          <w:p w:rsidR="006077AA" w:rsidRDefault="006077AA" w:rsidP="00164AF1">
            <w:pPr>
              <w:spacing w:after="240"/>
              <w:jc w:val="center"/>
              <w:rPr>
                <w:b/>
              </w:rPr>
            </w:pPr>
            <w:r w:rsidRPr="00582776">
              <w:rPr>
                <w:b/>
              </w:rPr>
              <w:t>SPECs, 13-</w:t>
            </w:r>
            <w:r>
              <w:rPr>
                <w:b/>
              </w:rPr>
              <w:t>3</w:t>
            </w:r>
            <w:r w:rsidRPr="00582776">
              <w:rPr>
                <w:b/>
              </w:rPr>
              <w:t>.0</w:t>
            </w:r>
            <w:r>
              <w:rPr>
                <w:b/>
              </w:rPr>
              <w:t>1B(5) Visual Monitoring Reports</w:t>
            </w:r>
          </w:p>
          <w:p w:rsidR="006077AA" w:rsidRDefault="006077AA" w:rsidP="00164AF1">
            <w:pPr>
              <w:spacing w:after="120"/>
              <w:jc w:val="center"/>
              <w:rPr>
                <w:b/>
              </w:rPr>
            </w:pPr>
            <w:r w:rsidRPr="00582776">
              <w:rPr>
                <w:b/>
              </w:rPr>
              <w:t>SPECs, 13-</w:t>
            </w:r>
            <w:r>
              <w:rPr>
                <w:b/>
              </w:rPr>
              <w:t>3</w:t>
            </w:r>
            <w:r w:rsidRPr="00582776">
              <w:rPr>
                <w:b/>
              </w:rPr>
              <w:t>.0</w:t>
            </w:r>
            <w:r>
              <w:rPr>
                <w:b/>
              </w:rPr>
              <w:t>1B(6) Sampling and Analysis Day</w:t>
            </w:r>
          </w:p>
          <w:p w:rsidR="006077AA" w:rsidRPr="00D96930" w:rsidRDefault="006077AA" w:rsidP="00EB4D57">
            <w:pPr>
              <w:jc w:val="center"/>
              <w:rPr>
                <w:b/>
              </w:rPr>
            </w:pPr>
            <w:r w:rsidRPr="00582776">
              <w:rPr>
                <w:b/>
              </w:rPr>
              <w:t>SPECs, 13-</w:t>
            </w:r>
            <w:r>
              <w:rPr>
                <w:b/>
              </w:rPr>
              <w:t>3</w:t>
            </w:r>
            <w:r w:rsidRPr="00582776">
              <w:rPr>
                <w:b/>
              </w:rPr>
              <w:t>.0</w:t>
            </w:r>
            <w:r>
              <w:rPr>
                <w:b/>
              </w:rPr>
              <w:t>1B(7) Rain Event Action Plan</w:t>
            </w:r>
          </w:p>
        </w:tc>
        <w:tc>
          <w:tcPr>
            <w:tcW w:w="12435" w:type="dxa"/>
            <w:gridSpan w:val="2"/>
            <w:vAlign w:val="center"/>
          </w:tcPr>
          <w:p w:rsidR="006077AA" w:rsidRDefault="006077AA" w:rsidP="0025087C">
            <w:pPr>
              <w:ind w:left="72"/>
            </w:pPr>
            <w:r>
              <w:t>The WPC manager must submit the following informational submittals within 24 hours of completing a weekly inspection:</w:t>
            </w:r>
          </w:p>
          <w:p w:rsidR="006077AA" w:rsidRPr="00C0618F" w:rsidRDefault="006077AA" w:rsidP="0063235C">
            <w:pPr>
              <w:ind w:left="72"/>
            </w:pPr>
            <w:r>
              <w:t>1. Completed Stormwater Site Inspection Report form.</w:t>
            </w:r>
          </w:p>
        </w:tc>
      </w:tr>
      <w:tr w:rsidR="006077AA" w:rsidRPr="00B55F29" w:rsidTr="00C97A65">
        <w:trPr>
          <w:trHeight w:val="432"/>
        </w:trPr>
        <w:tc>
          <w:tcPr>
            <w:tcW w:w="2358" w:type="dxa"/>
            <w:vMerge/>
            <w:noWrap/>
            <w:vAlign w:val="center"/>
          </w:tcPr>
          <w:p w:rsidR="006077AA" w:rsidRPr="00582776" w:rsidRDefault="006077AA" w:rsidP="003950DA">
            <w:pPr>
              <w:jc w:val="center"/>
              <w:rPr>
                <w:b/>
              </w:rPr>
            </w:pPr>
          </w:p>
        </w:tc>
        <w:tc>
          <w:tcPr>
            <w:tcW w:w="12435" w:type="dxa"/>
            <w:gridSpan w:val="2"/>
            <w:vAlign w:val="center"/>
          </w:tcPr>
          <w:p w:rsidR="006077AA" w:rsidRDefault="006077AA" w:rsidP="0025087C">
            <w:pPr>
              <w:ind w:left="72"/>
            </w:pPr>
            <w:r>
              <w:t>Submit visual monitoring reports for:</w:t>
            </w:r>
          </w:p>
          <w:p w:rsidR="006077AA" w:rsidRDefault="006077AA" w:rsidP="0025087C">
            <w:pPr>
              <w:ind w:left="72"/>
            </w:pPr>
            <w:r>
              <w:t>1. Each storm event.</w:t>
            </w:r>
          </w:p>
          <w:p w:rsidR="006077AA" w:rsidRDefault="006077AA" w:rsidP="0063235C">
            <w:pPr>
              <w:ind w:left="72"/>
            </w:pPr>
            <w:r>
              <w:t>2. Nonstormwater discharges during each of the following periods.</w:t>
            </w:r>
          </w:p>
          <w:p w:rsidR="00164AF1" w:rsidRDefault="00164AF1" w:rsidP="0063235C">
            <w:pPr>
              <w:ind w:left="72"/>
            </w:pPr>
            <w:r w:rsidRPr="00164AF1">
              <w:t xml:space="preserve">2.1. January through March </w:t>
            </w:r>
            <w:r w:rsidRPr="00164AF1">
              <w:tab/>
              <w:t xml:space="preserve">2.2. April through June </w:t>
            </w:r>
            <w:r w:rsidRPr="00164AF1">
              <w:tab/>
              <w:t xml:space="preserve">2.3. July through September </w:t>
            </w:r>
            <w:r w:rsidRPr="00164AF1">
              <w:tab/>
              <w:t>2.4. October through December</w:t>
            </w:r>
          </w:p>
        </w:tc>
      </w:tr>
      <w:tr w:rsidR="006077AA" w:rsidRPr="00B55F29" w:rsidTr="00164AF1">
        <w:trPr>
          <w:trHeight w:val="593"/>
        </w:trPr>
        <w:tc>
          <w:tcPr>
            <w:tcW w:w="2358" w:type="dxa"/>
            <w:vMerge/>
            <w:noWrap/>
            <w:vAlign w:val="center"/>
          </w:tcPr>
          <w:p w:rsidR="006077AA" w:rsidRPr="00582776" w:rsidRDefault="006077AA" w:rsidP="003950DA">
            <w:pPr>
              <w:jc w:val="center"/>
              <w:rPr>
                <w:b/>
              </w:rPr>
            </w:pPr>
          </w:p>
        </w:tc>
        <w:tc>
          <w:tcPr>
            <w:tcW w:w="12435" w:type="dxa"/>
            <w:gridSpan w:val="2"/>
            <w:vAlign w:val="center"/>
          </w:tcPr>
          <w:p w:rsidR="006077AA" w:rsidRDefault="006077AA" w:rsidP="0025087C">
            <w:pPr>
              <w:ind w:left="72"/>
            </w:pPr>
            <w:r>
              <w:t>Submit a printed and electronic copy of water quality analysis results, and quality assurance and quality control reports within 48 hours of field sampling, and within 30 days of laboratory analysis.</w:t>
            </w:r>
          </w:p>
        </w:tc>
      </w:tr>
      <w:tr w:rsidR="006E2DB0" w:rsidRPr="00B55F29" w:rsidTr="00C97A65">
        <w:trPr>
          <w:trHeight w:val="432"/>
        </w:trPr>
        <w:tc>
          <w:tcPr>
            <w:tcW w:w="2358" w:type="dxa"/>
            <w:vMerge/>
            <w:noWrap/>
            <w:vAlign w:val="center"/>
          </w:tcPr>
          <w:p w:rsidR="006E2DB0" w:rsidRPr="00582776" w:rsidRDefault="006E2DB0" w:rsidP="003950DA">
            <w:pPr>
              <w:jc w:val="center"/>
              <w:rPr>
                <w:b/>
              </w:rPr>
            </w:pPr>
          </w:p>
        </w:tc>
        <w:tc>
          <w:tcPr>
            <w:tcW w:w="12435" w:type="dxa"/>
            <w:gridSpan w:val="2"/>
            <w:vAlign w:val="center"/>
          </w:tcPr>
          <w:p w:rsidR="006E2DB0" w:rsidRDefault="006E2DB0" w:rsidP="0025087C">
            <w:pPr>
              <w:ind w:left="72"/>
            </w:pPr>
            <w:r>
              <w:t>For a risk level 2 or a risk level 3, submit a REAP whenever the National Weather Service is predicting a storm event with at least 50 percent probability of precipitation within 72 hours.</w:t>
            </w:r>
          </w:p>
          <w:p w:rsidR="006E2DB0" w:rsidRDefault="006E2DB0" w:rsidP="0025087C">
            <w:pPr>
              <w:ind w:left="72"/>
            </w:pPr>
            <w:r>
              <w:t>The WPC manager must submit the REAP at least 48 hours before a forecasted storm event.</w:t>
            </w:r>
          </w:p>
        </w:tc>
      </w:tr>
      <w:tr w:rsidR="009658EE" w:rsidRPr="00B55F29" w:rsidTr="00164AF1">
        <w:trPr>
          <w:trHeight w:val="809"/>
        </w:trPr>
        <w:tc>
          <w:tcPr>
            <w:tcW w:w="2358" w:type="dxa"/>
            <w:vMerge w:val="restart"/>
            <w:noWrap/>
            <w:vAlign w:val="center"/>
          </w:tcPr>
          <w:p w:rsidR="009658EE" w:rsidRDefault="009658EE" w:rsidP="00C97A65">
            <w:pPr>
              <w:spacing w:before="120" w:after="120"/>
              <w:jc w:val="center"/>
              <w:rPr>
                <w:b/>
              </w:rPr>
            </w:pPr>
            <w:r w:rsidRPr="00286775">
              <w:rPr>
                <w:b/>
              </w:rPr>
              <w:t xml:space="preserve">CGP, </w:t>
            </w:r>
            <w:r>
              <w:rPr>
                <w:b/>
              </w:rPr>
              <w:t>Attachment C.G.2, D.G.2, E.G.2 Inspection, Maintenance and Repair</w:t>
            </w:r>
          </w:p>
          <w:p w:rsidR="009658EE" w:rsidRDefault="009658EE" w:rsidP="00164AF1">
            <w:pPr>
              <w:spacing w:after="240"/>
              <w:jc w:val="center"/>
              <w:rPr>
                <w:b/>
              </w:rPr>
            </w:pPr>
            <w:r w:rsidRPr="00A64754">
              <w:rPr>
                <w:b/>
              </w:rPr>
              <w:t>CGP, Attachment</w:t>
            </w:r>
            <w:r>
              <w:rPr>
                <w:b/>
              </w:rPr>
              <w:t xml:space="preserve"> C.I</w:t>
            </w:r>
            <w:r w:rsidRPr="00A64754">
              <w:rPr>
                <w:b/>
              </w:rPr>
              <w:t>.</w:t>
            </w:r>
            <w:r>
              <w:rPr>
                <w:b/>
              </w:rPr>
              <w:t>3</w:t>
            </w:r>
            <w:r w:rsidRPr="00A64754">
              <w:rPr>
                <w:b/>
              </w:rPr>
              <w:t>, D.</w:t>
            </w:r>
            <w:r>
              <w:rPr>
                <w:b/>
              </w:rPr>
              <w:t>I</w:t>
            </w:r>
            <w:r w:rsidRPr="00A64754">
              <w:rPr>
                <w:b/>
              </w:rPr>
              <w:t>.</w:t>
            </w:r>
            <w:r>
              <w:rPr>
                <w:b/>
              </w:rPr>
              <w:t>3</w:t>
            </w:r>
            <w:r w:rsidRPr="00A64754">
              <w:rPr>
                <w:b/>
              </w:rPr>
              <w:t>, E.</w:t>
            </w:r>
            <w:r>
              <w:rPr>
                <w:b/>
              </w:rPr>
              <w:t xml:space="preserve">I.3 </w:t>
            </w:r>
            <w:r w:rsidRPr="008A4924">
              <w:rPr>
                <w:b/>
              </w:rPr>
              <w:t>Visual Monitoring (Inspection) Requirements for</w:t>
            </w:r>
            <w:r w:rsidR="00164AF1">
              <w:rPr>
                <w:b/>
              </w:rPr>
              <w:t xml:space="preserve"> Qualifying Rain Events</w:t>
            </w:r>
          </w:p>
          <w:p w:rsidR="009658EE" w:rsidRDefault="009658EE" w:rsidP="00164AF1">
            <w:pPr>
              <w:spacing w:after="120"/>
              <w:jc w:val="center"/>
              <w:rPr>
                <w:b/>
              </w:rPr>
            </w:pPr>
            <w:r w:rsidRPr="00A64754">
              <w:rPr>
                <w:b/>
              </w:rPr>
              <w:t>CGP, Attachment</w:t>
            </w:r>
            <w:r>
              <w:rPr>
                <w:b/>
              </w:rPr>
              <w:t xml:space="preserve"> C.I</w:t>
            </w:r>
            <w:r w:rsidRPr="00A64754">
              <w:rPr>
                <w:b/>
              </w:rPr>
              <w:t>.</w:t>
            </w:r>
            <w:r>
              <w:rPr>
                <w:b/>
              </w:rPr>
              <w:t>10</w:t>
            </w:r>
            <w:r w:rsidRPr="00A64754">
              <w:rPr>
                <w:b/>
              </w:rPr>
              <w:t>, D.</w:t>
            </w:r>
            <w:r>
              <w:rPr>
                <w:b/>
              </w:rPr>
              <w:t>I</w:t>
            </w:r>
            <w:r w:rsidRPr="00A64754">
              <w:rPr>
                <w:b/>
              </w:rPr>
              <w:t>.</w:t>
            </w:r>
            <w:r>
              <w:rPr>
                <w:b/>
              </w:rPr>
              <w:t>10</w:t>
            </w:r>
            <w:r w:rsidRPr="00A64754">
              <w:rPr>
                <w:b/>
              </w:rPr>
              <w:t>, E.</w:t>
            </w:r>
            <w:r>
              <w:rPr>
                <w:b/>
              </w:rPr>
              <w:t>I.10 Non Storm Water Discharge Monitoring Requirements</w:t>
            </w:r>
          </w:p>
          <w:p w:rsidR="009658EE" w:rsidRDefault="009658EE" w:rsidP="006125F2">
            <w:pPr>
              <w:spacing w:after="120"/>
              <w:jc w:val="center"/>
              <w:rPr>
                <w:b/>
              </w:rPr>
            </w:pPr>
            <w:r w:rsidRPr="00A64754">
              <w:rPr>
                <w:b/>
              </w:rPr>
              <w:t>CGP, Attachment</w:t>
            </w:r>
            <w:r>
              <w:rPr>
                <w:b/>
              </w:rPr>
              <w:t xml:space="preserve"> </w:t>
            </w:r>
            <w:r w:rsidRPr="00A64754">
              <w:rPr>
                <w:b/>
              </w:rPr>
              <w:t>D.</w:t>
            </w:r>
            <w:r>
              <w:rPr>
                <w:b/>
              </w:rPr>
              <w:t>I</w:t>
            </w:r>
            <w:r w:rsidRPr="00A64754">
              <w:rPr>
                <w:b/>
              </w:rPr>
              <w:t>.</w:t>
            </w:r>
            <w:r>
              <w:rPr>
                <w:b/>
              </w:rPr>
              <w:t>4</w:t>
            </w:r>
            <w:r w:rsidRPr="00A64754">
              <w:rPr>
                <w:b/>
              </w:rPr>
              <w:t>, E.</w:t>
            </w:r>
            <w:r>
              <w:rPr>
                <w:b/>
              </w:rPr>
              <w:t>I.4 Water Quality Sampling and Analysis</w:t>
            </w:r>
          </w:p>
          <w:p w:rsidR="009658EE" w:rsidRPr="00D96930" w:rsidRDefault="009658EE" w:rsidP="00A64754">
            <w:pPr>
              <w:spacing w:after="120"/>
              <w:jc w:val="center"/>
              <w:rPr>
                <w:b/>
              </w:rPr>
            </w:pPr>
            <w:r w:rsidRPr="00286775">
              <w:rPr>
                <w:b/>
              </w:rPr>
              <w:t xml:space="preserve">CGP, </w:t>
            </w:r>
            <w:r>
              <w:rPr>
                <w:b/>
              </w:rPr>
              <w:t>Attachment D.H.1, E.H.1 Rain Event Action Plan</w:t>
            </w:r>
          </w:p>
        </w:tc>
        <w:tc>
          <w:tcPr>
            <w:tcW w:w="12435" w:type="dxa"/>
            <w:gridSpan w:val="2"/>
            <w:vAlign w:val="center"/>
          </w:tcPr>
          <w:p w:rsidR="009658EE" w:rsidRDefault="009658EE" w:rsidP="008A4924">
            <w:pPr>
              <w:ind w:left="72"/>
            </w:pPr>
            <w:r>
              <w:t>Risk level 1, 2, and 3 dischargers shall perform weekly inspections and observations, and at least once each 24-hour period during extended storm events,</w:t>
            </w:r>
          </w:p>
        </w:tc>
      </w:tr>
      <w:tr w:rsidR="009658EE" w:rsidRPr="00B55F29" w:rsidTr="00164AF1">
        <w:trPr>
          <w:trHeight w:val="899"/>
        </w:trPr>
        <w:tc>
          <w:tcPr>
            <w:tcW w:w="2358" w:type="dxa"/>
            <w:vMerge/>
            <w:noWrap/>
            <w:vAlign w:val="center"/>
          </w:tcPr>
          <w:p w:rsidR="009658EE" w:rsidRPr="00286775" w:rsidRDefault="009658EE" w:rsidP="0025087C">
            <w:pPr>
              <w:spacing w:after="120"/>
              <w:jc w:val="center"/>
              <w:rPr>
                <w:b/>
              </w:rPr>
            </w:pPr>
          </w:p>
        </w:tc>
        <w:tc>
          <w:tcPr>
            <w:tcW w:w="12435" w:type="dxa"/>
            <w:gridSpan w:val="2"/>
            <w:vAlign w:val="center"/>
          </w:tcPr>
          <w:p w:rsidR="009658EE" w:rsidRDefault="009658EE" w:rsidP="00A64754">
            <w:pPr>
              <w:ind w:left="72"/>
            </w:pPr>
            <w:r>
              <w:t>a. Risk level 1, 2, and 3 dischargers shall visually observe (inspect) storm water discharges at all discharge locations within two business days (48 hours) after each qualifying rain event.</w:t>
            </w:r>
          </w:p>
          <w:p w:rsidR="009658EE" w:rsidRDefault="009658EE" w:rsidP="00A64754">
            <w:pPr>
              <w:ind w:left="72"/>
            </w:pPr>
            <w:r>
              <w:t>e</w:t>
            </w:r>
            <w:r w:rsidRPr="00A64754">
              <w:t xml:space="preserve">. </w:t>
            </w:r>
            <w:r>
              <w:t>Within 2 business days (48 hours) prior to each qualifying rain event, Risk level 1, 2, and 3 dischargers shall visually observe (inspect):</w:t>
            </w:r>
          </w:p>
        </w:tc>
      </w:tr>
      <w:tr w:rsidR="009658EE" w:rsidRPr="00B55F29" w:rsidTr="00164AF1">
        <w:trPr>
          <w:trHeight w:val="1061"/>
        </w:trPr>
        <w:tc>
          <w:tcPr>
            <w:tcW w:w="2358" w:type="dxa"/>
            <w:vMerge/>
            <w:noWrap/>
            <w:vAlign w:val="center"/>
          </w:tcPr>
          <w:p w:rsidR="009658EE" w:rsidRPr="00286775" w:rsidRDefault="009658EE" w:rsidP="0025087C">
            <w:pPr>
              <w:spacing w:after="120"/>
              <w:jc w:val="center"/>
              <w:rPr>
                <w:b/>
              </w:rPr>
            </w:pPr>
          </w:p>
        </w:tc>
        <w:tc>
          <w:tcPr>
            <w:tcW w:w="12435" w:type="dxa"/>
            <w:gridSpan w:val="2"/>
            <w:vAlign w:val="center"/>
          </w:tcPr>
          <w:p w:rsidR="009658EE" w:rsidRDefault="009658EE" w:rsidP="00A64754">
            <w:pPr>
              <w:ind w:left="72"/>
            </w:pPr>
            <w:r>
              <w:t>a. Visual Monitoring Requirements:</w:t>
            </w:r>
          </w:p>
          <w:p w:rsidR="009658EE" w:rsidRDefault="009658EE" w:rsidP="00570984">
            <w:pPr>
              <w:ind w:left="72"/>
            </w:pPr>
            <w:r>
              <w:t>i. Risk level 1, 2, and 3 dischargers shall visually observe (inspect) each drainage area for the presence of (or indications of prior) unauthorized and authorized non-storm water discharges and their sources.</w:t>
            </w:r>
          </w:p>
          <w:p w:rsidR="00165760" w:rsidRDefault="009658EE" w:rsidP="00165760">
            <w:pPr>
              <w:tabs>
                <w:tab w:val="left" w:pos="10512"/>
              </w:tabs>
              <w:ind w:left="72"/>
            </w:pPr>
            <w:r>
              <w:t xml:space="preserve">ii. </w:t>
            </w:r>
            <w:r w:rsidRPr="006125F2">
              <w:t xml:space="preserve">Risk level 1, 2, and 3 dischargers </w:t>
            </w:r>
            <w:r>
              <w:t>shall conduct one visual observation (inspection) quarterly in each of the following periods:</w:t>
            </w:r>
          </w:p>
          <w:p w:rsidR="009658EE" w:rsidRDefault="00165760" w:rsidP="00165760">
            <w:pPr>
              <w:tabs>
                <w:tab w:val="left" w:pos="2502"/>
                <w:tab w:val="left" w:pos="4482"/>
                <w:tab w:val="left" w:pos="7002"/>
              </w:tabs>
              <w:ind w:left="72"/>
            </w:pPr>
            <w:r>
              <w:t xml:space="preserve">2.1. January through March </w:t>
            </w:r>
            <w:r>
              <w:tab/>
              <w:t xml:space="preserve">2.2. April through June </w:t>
            </w:r>
            <w:r>
              <w:tab/>
              <w:t xml:space="preserve">2.3. July through September </w:t>
            </w:r>
            <w:r>
              <w:tab/>
              <w:t>2.4. October through December</w:t>
            </w:r>
          </w:p>
        </w:tc>
      </w:tr>
      <w:tr w:rsidR="009658EE" w:rsidRPr="00B55F29" w:rsidTr="00C97A65">
        <w:trPr>
          <w:trHeight w:val="755"/>
        </w:trPr>
        <w:tc>
          <w:tcPr>
            <w:tcW w:w="2358" w:type="dxa"/>
            <w:vMerge/>
            <w:noWrap/>
            <w:vAlign w:val="center"/>
          </w:tcPr>
          <w:p w:rsidR="009658EE" w:rsidRPr="00286775" w:rsidRDefault="009658EE" w:rsidP="0025087C">
            <w:pPr>
              <w:spacing w:after="120"/>
              <w:jc w:val="center"/>
              <w:rPr>
                <w:b/>
              </w:rPr>
            </w:pPr>
          </w:p>
        </w:tc>
        <w:tc>
          <w:tcPr>
            <w:tcW w:w="12435" w:type="dxa"/>
            <w:gridSpan w:val="2"/>
            <w:vAlign w:val="center"/>
          </w:tcPr>
          <w:p w:rsidR="009658EE" w:rsidRDefault="009658EE" w:rsidP="006125F2">
            <w:pPr>
              <w:ind w:left="72"/>
            </w:pPr>
            <w:r>
              <w:t>b. At minimum, risk level 2 and 3 dischargers shall collect 3 samples per day of the qualifying event.</w:t>
            </w:r>
          </w:p>
        </w:tc>
      </w:tr>
      <w:tr w:rsidR="006E2DB0" w:rsidRPr="00B55F29" w:rsidTr="00C97A65">
        <w:trPr>
          <w:trHeight w:val="432"/>
        </w:trPr>
        <w:tc>
          <w:tcPr>
            <w:tcW w:w="2358" w:type="dxa"/>
            <w:vMerge/>
            <w:noWrap/>
            <w:vAlign w:val="center"/>
          </w:tcPr>
          <w:p w:rsidR="006E2DB0" w:rsidRPr="00286775" w:rsidRDefault="006E2DB0" w:rsidP="0025087C">
            <w:pPr>
              <w:spacing w:after="120"/>
              <w:jc w:val="center"/>
              <w:rPr>
                <w:b/>
              </w:rPr>
            </w:pPr>
          </w:p>
        </w:tc>
        <w:tc>
          <w:tcPr>
            <w:tcW w:w="12435" w:type="dxa"/>
            <w:gridSpan w:val="2"/>
            <w:vAlign w:val="center"/>
          </w:tcPr>
          <w:p w:rsidR="006E2DB0" w:rsidRDefault="006E2DB0" w:rsidP="00570984">
            <w:pPr>
              <w:ind w:left="72"/>
            </w:pPr>
            <w:r>
              <w:t>Risk level 2 and 3 dischargers shall ensure a QSP develop a Rain Event Action Plan (REAP) 48 hours prior to any likely precipitation event. A likely precipitation event is any weather pattern that is forecast to have a 50% or greater probability of producing precipitation in the project area.</w:t>
            </w:r>
          </w:p>
        </w:tc>
      </w:tr>
      <w:tr w:rsidR="00FC1463" w:rsidRPr="00B55F29" w:rsidTr="00C97A65">
        <w:trPr>
          <w:trHeight w:val="432"/>
        </w:trPr>
        <w:tc>
          <w:tcPr>
            <w:tcW w:w="2358" w:type="dxa"/>
            <w:vMerge w:val="restart"/>
            <w:noWrap/>
            <w:vAlign w:val="center"/>
          </w:tcPr>
          <w:p w:rsidR="00FC1463" w:rsidRPr="00D96930" w:rsidRDefault="00FC1463" w:rsidP="00C97A65">
            <w:pPr>
              <w:spacing w:before="120" w:after="960"/>
              <w:jc w:val="center"/>
              <w:rPr>
                <w:b/>
              </w:rPr>
            </w:pPr>
            <w:r>
              <w:rPr>
                <w:b/>
              </w:rPr>
              <w:t>LTP, Attachment C.III.A Visual Inspections</w:t>
            </w:r>
          </w:p>
          <w:p w:rsidR="00FC1463" w:rsidRDefault="00FC1463" w:rsidP="006E2DB0">
            <w:pPr>
              <w:spacing w:after="600"/>
              <w:jc w:val="center"/>
              <w:rPr>
                <w:b/>
              </w:rPr>
            </w:pPr>
            <w:r>
              <w:rPr>
                <w:b/>
              </w:rPr>
              <w:t>LT</w:t>
            </w:r>
            <w:r w:rsidRPr="00286775">
              <w:rPr>
                <w:b/>
              </w:rPr>
              <w:t xml:space="preserve">P, </w:t>
            </w:r>
            <w:r>
              <w:rPr>
                <w:b/>
              </w:rPr>
              <w:t>Attachment C.III</w:t>
            </w:r>
            <w:r w:rsidRPr="00D634E7">
              <w:rPr>
                <w:b/>
              </w:rPr>
              <w:t>.</w:t>
            </w:r>
            <w:r>
              <w:rPr>
                <w:b/>
              </w:rPr>
              <w:t>C.1</w:t>
            </w:r>
            <w:r w:rsidRPr="00D634E7">
              <w:rPr>
                <w:b/>
              </w:rPr>
              <w:t xml:space="preserve"> </w:t>
            </w:r>
            <w:r>
              <w:rPr>
                <w:b/>
              </w:rPr>
              <w:t>Storm Water Effluent Discharges</w:t>
            </w:r>
          </w:p>
          <w:p w:rsidR="00FC1463" w:rsidRPr="00286775" w:rsidRDefault="00FC1463" w:rsidP="0025087C">
            <w:pPr>
              <w:jc w:val="center"/>
              <w:rPr>
                <w:b/>
              </w:rPr>
            </w:pPr>
            <w:r>
              <w:rPr>
                <w:b/>
              </w:rPr>
              <w:t>LT</w:t>
            </w:r>
            <w:r w:rsidRPr="00286775">
              <w:rPr>
                <w:b/>
              </w:rPr>
              <w:t xml:space="preserve">P, </w:t>
            </w:r>
            <w:r>
              <w:rPr>
                <w:b/>
              </w:rPr>
              <w:t>Attachment C.VIII</w:t>
            </w:r>
            <w:r w:rsidRPr="00D634E7">
              <w:rPr>
                <w:b/>
              </w:rPr>
              <w:t xml:space="preserve"> </w:t>
            </w:r>
            <w:r>
              <w:rPr>
                <w:b/>
              </w:rPr>
              <w:t>Rain Event Action Plan (REAP)</w:t>
            </w:r>
          </w:p>
        </w:tc>
        <w:tc>
          <w:tcPr>
            <w:tcW w:w="12435" w:type="dxa"/>
            <w:gridSpan w:val="2"/>
            <w:vAlign w:val="center"/>
          </w:tcPr>
          <w:p w:rsidR="00FC1463" w:rsidRDefault="00FC1463" w:rsidP="00D039E1">
            <w:pPr>
              <w:ind w:left="72"/>
            </w:pPr>
            <w:r>
              <w:t>1. During the active construction season (defined as May 1 through October 15 for purposes of this General Permit), an inspection of the construction site shall be made at the end of each work day. Dischargers working (under an approved variance) during the period from October 16 through April 30 of the following year shall also conduct inspections on a daily basis. During the Winter or inactive period (defined as October 16 through April 30 for purposes of this permit), Dischargers must conduct inspections at least once per month during daylight hours.</w:t>
            </w:r>
          </w:p>
          <w:p w:rsidR="00FC1463" w:rsidRDefault="00FC1463" w:rsidP="00250DBD">
            <w:pPr>
              <w:ind w:left="72"/>
            </w:pPr>
            <w:r>
              <w:t>2. During both active and inactive periods, a construction site inspection shall also be performed within 24 hours prior to an anticipated precipitation event (chance of precipitation is forecasted at 30 percent or greater), daily during extended storm events, and within 24 hours after actual storm events. This requirement does not apply during snow events.</w:t>
            </w:r>
          </w:p>
          <w:p w:rsidR="00FC1463" w:rsidRDefault="00FC1463" w:rsidP="00250DBD">
            <w:pPr>
              <w:ind w:left="72"/>
            </w:pPr>
            <w:r>
              <w:t>4.m. Any evidence of non-storm water discharges from the project site. The inspection report shall note whether any such discharges areauthorized, or are illicit and not authorized. If authorized, the condition of the applicable BMPs must be indicated.</w:t>
            </w:r>
          </w:p>
        </w:tc>
      </w:tr>
      <w:tr w:rsidR="00FC1463" w:rsidRPr="00B55F29" w:rsidTr="00C97A65">
        <w:trPr>
          <w:trHeight w:val="432"/>
        </w:trPr>
        <w:tc>
          <w:tcPr>
            <w:tcW w:w="2358" w:type="dxa"/>
            <w:vMerge/>
            <w:noWrap/>
            <w:vAlign w:val="center"/>
          </w:tcPr>
          <w:p w:rsidR="00FC1463" w:rsidRDefault="00FC1463" w:rsidP="0025087C">
            <w:pPr>
              <w:spacing w:after="120"/>
              <w:jc w:val="center"/>
              <w:rPr>
                <w:b/>
              </w:rPr>
            </w:pPr>
          </w:p>
        </w:tc>
        <w:tc>
          <w:tcPr>
            <w:tcW w:w="12435" w:type="dxa"/>
            <w:gridSpan w:val="2"/>
            <w:vAlign w:val="center"/>
          </w:tcPr>
          <w:p w:rsidR="00FC1463" w:rsidRDefault="00FC1463" w:rsidP="00250DBD">
            <w:pPr>
              <w:ind w:left="72"/>
            </w:pPr>
            <w:r>
              <w:t>a. During the active construction season (defined as May 1 through October 15 for purposes of this General Permit), Dischargers shall collect one grab sample from each discharge point where storm water is discharged off the project boundaries and/or to surface waters. A minimum of three samples must be collected for each day that storm water is discharged offsite.</w:t>
            </w:r>
          </w:p>
          <w:p w:rsidR="00FC1463" w:rsidRDefault="00FC1463" w:rsidP="00250DBD">
            <w:pPr>
              <w:ind w:left="72"/>
            </w:pPr>
            <w:r>
              <w:t>b. During the period from October 16 through April 30 of the following year, Dischargers must collect a representative sample from each designated discharge sampling point during a minimum of two storm events that produce a discharge off the project boundaries. Sampling is only required for one day during each storm event. A minimum of three samples for each day sampling is conducted is required.</w:t>
            </w:r>
          </w:p>
        </w:tc>
      </w:tr>
      <w:tr w:rsidR="006E2DB0" w:rsidRPr="00B55F29" w:rsidTr="00C97A65">
        <w:trPr>
          <w:trHeight w:val="432"/>
        </w:trPr>
        <w:tc>
          <w:tcPr>
            <w:tcW w:w="2358" w:type="dxa"/>
            <w:vMerge/>
            <w:noWrap/>
            <w:vAlign w:val="center"/>
          </w:tcPr>
          <w:p w:rsidR="006E2DB0" w:rsidRDefault="006E2DB0" w:rsidP="0025087C">
            <w:pPr>
              <w:jc w:val="center"/>
              <w:rPr>
                <w:b/>
              </w:rPr>
            </w:pPr>
          </w:p>
        </w:tc>
        <w:tc>
          <w:tcPr>
            <w:tcW w:w="12435" w:type="dxa"/>
            <w:gridSpan w:val="2"/>
            <w:vAlign w:val="center"/>
          </w:tcPr>
          <w:p w:rsidR="006E2DB0" w:rsidRDefault="006E2DB0" w:rsidP="0025087C">
            <w:pPr>
              <w:tabs>
                <w:tab w:val="left" w:pos="1962"/>
                <w:tab w:val="left" w:pos="5202"/>
                <w:tab w:val="left" w:pos="7092"/>
                <w:tab w:val="left" w:pos="9702"/>
              </w:tabs>
              <w:ind w:left="72"/>
            </w:pPr>
            <w:r>
              <w:t>E. From the dates of May 1 through October 15 of each year, and during periods in which construction activity is conducted under a variance to the land disturbance prohibition of this General Permit, the discharger shall ensure a QSP develops a REAP no later than the calendar day 24 hours prior to any anticipated precipitation event. An anticipated precipitation event is any weather pattern that is forecast to have a 30 percent or greater chance of producing precipitation as rainfall in the project area. During periods when thunderstorm activity is anticipated, the discharger shall monitor weather conditions during the course of the day, and prepare and implement a REAP if the chance of thunderstorms becomes 30 percent or greater, or when visual observations indicate imminent precipitation.</w:t>
            </w:r>
          </w:p>
        </w:tc>
      </w:tr>
      <w:tr w:rsidR="007B347A" w:rsidRPr="00B55F29" w:rsidTr="00AD7AD3">
        <w:trPr>
          <w:trHeight w:val="224"/>
        </w:trPr>
        <w:tc>
          <w:tcPr>
            <w:tcW w:w="2358" w:type="dxa"/>
            <w:noWrap/>
            <w:vAlign w:val="center"/>
          </w:tcPr>
          <w:p w:rsidR="007B347A" w:rsidRDefault="007B347A" w:rsidP="00AD7AD3">
            <w:pPr>
              <w:jc w:val="center"/>
              <w:rPr>
                <w:b/>
              </w:rPr>
            </w:pPr>
          </w:p>
        </w:tc>
        <w:tc>
          <w:tcPr>
            <w:tcW w:w="12435" w:type="dxa"/>
            <w:gridSpan w:val="2"/>
            <w:vAlign w:val="center"/>
          </w:tcPr>
          <w:p w:rsidR="007B347A" w:rsidRPr="00B55F29" w:rsidRDefault="007B347A" w:rsidP="00AD7AD3">
            <w:pPr>
              <w:ind w:left="93"/>
              <w:rPr>
                <w:b/>
                <w:bCs/>
                <w:szCs w:val="18"/>
              </w:rPr>
            </w:pPr>
          </w:p>
        </w:tc>
      </w:tr>
      <w:tr w:rsidR="007B347A" w:rsidRPr="008E3D79" w:rsidTr="007B347A">
        <w:trPr>
          <w:trHeight w:val="432"/>
        </w:trPr>
        <w:tc>
          <w:tcPr>
            <w:tcW w:w="2358" w:type="dxa"/>
            <w:shd w:val="clear" w:color="auto" w:fill="F2F2F2" w:themeFill="background1" w:themeFillShade="F2"/>
            <w:noWrap/>
            <w:vAlign w:val="center"/>
          </w:tcPr>
          <w:p w:rsidR="007B347A" w:rsidRDefault="007B347A" w:rsidP="007B347A">
            <w:pPr>
              <w:jc w:val="center"/>
              <w:rPr>
                <w:b/>
              </w:rPr>
            </w:pPr>
            <w:r>
              <w:rPr>
                <w:b/>
              </w:rPr>
              <w:t>E.2</w:t>
            </w:r>
          </w:p>
        </w:tc>
        <w:tc>
          <w:tcPr>
            <w:tcW w:w="12435" w:type="dxa"/>
            <w:gridSpan w:val="2"/>
            <w:shd w:val="clear" w:color="auto" w:fill="F2F2F2" w:themeFill="background1" w:themeFillShade="F2"/>
            <w:vAlign w:val="center"/>
          </w:tcPr>
          <w:p w:rsidR="007B347A" w:rsidRPr="008E3D79" w:rsidRDefault="006E2DB0" w:rsidP="006E2DB0">
            <w:pPr>
              <w:ind w:left="72"/>
              <w:rPr>
                <w:bCs/>
                <w:szCs w:val="18"/>
              </w:rPr>
            </w:pPr>
            <w:r w:rsidRPr="006E2DB0">
              <w:rPr>
                <w:bCs/>
                <w:szCs w:val="18"/>
              </w:rPr>
              <w:t xml:space="preserve">If </w:t>
            </w:r>
            <w:r>
              <w:rPr>
                <w:bCs/>
                <w:szCs w:val="18"/>
              </w:rPr>
              <w:t>a NAL</w:t>
            </w:r>
            <w:r w:rsidRPr="006E2DB0">
              <w:rPr>
                <w:bCs/>
                <w:szCs w:val="18"/>
              </w:rPr>
              <w:t xml:space="preserve"> is exceeded, has a construction site and run-on evaluation been prepared</w:t>
            </w:r>
            <w:r>
              <w:rPr>
                <w:bCs/>
                <w:szCs w:val="18"/>
              </w:rPr>
              <w:t xml:space="preserve"> and documented in the project files</w:t>
            </w:r>
            <w:r w:rsidRPr="006E2DB0">
              <w:rPr>
                <w:bCs/>
                <w:szCs w:val="18"/>
              </w:rPr>
              <w:t>?</w:t>
            </w:r>
          </w:p>
        </w:tc>
      </w:tr>
      <w:tr w:rsidR="007B347A" w:rsidRPr="00C0618F" w:rsidTr="007B347A">
        <w:trPr>
          <w:trHeight w:val="432"/>
        </w:trPr>
        <w:tc>
          <w:tcPr>
            <w:tcW w:w="2358" w:type="dxa"/>
            <w:noWrap/>
            <w:vAlign w:val="center"/>
          </w:tcPr>
          <w:p w:rsidR="007B347A" w:rsidRPr="00D96930" w:rsidRDefault="007B347A" w:rsidP="007B347A">
            <w:pPr>
              <w:jc w:val="center"/>
              <w:rPr>
                <w:b/>
              </w:rPr>
            </w:pPr>
            <w:r w:rsidRPr="00582776">
              <w:rPr>
                <w:b/>
              </w:rPr>
              <w:t>SPECs, 13-</w:t>
            </w:r>
            <w:r>
              <w:rPr>
                <w:b/>
              </w:rPr>
              <w:t>3</w:t>
            </w:r>
            <w:r w:rsidRPr="00582776">
              <w:rPr>
                <w:b/>
              </w:rPr>
              <w:t>.0</w:t>
            </w:r>
            <w:r>
              <w:rPr>
                <w:b/>
              </w:rPr>
              <w:t>1B(6)(b) Numeric Action Level Exceedance Report</w:t>
            </w:r>
          </w:p>
        </w:tc>
        <w:tc>
          <w:tcPr>
            <w:tcW w:w="12435" w:type="dxa"/>
            <w:gridSpan w:val="2"/>
            <w:vAlign w:val="center"/>
          </w:tcPr>
          <w:p w:rsidR="007B347A" w:rsidRPr="00C0618F" w:rsidRDefault="007B347A" w:rsidP="007B347A">
            <w:pPr>
              <w:ind w:left="72"/>
            </w:pPr>
            <w:r>
              <w:t>Whenever a NAL is exceeded, notify the Engineer and submit a NAL exceedance report within 48 hours after the conclusion of a storm event.</w:t>
            </w:r>
          </w:p>
        </w:tc>
      </w:tr>
      <w:tr w:rsidR="006E2DB0" w:rsidTr="006E2DB0">
        <w:trPr>
          <w:trHeight w:val="432"/>
        </w:trPr>
        <w:tc>
          <w:tcPr>
            <w:tcW w:w="2358" w:type="dxa"/>
            <w:noWrap/>
            <w:vAlign w:val="center"/>
          </w:tcPr>
          <w:p w:rsidR="006E2DB0" w:rsidRPr="00D96930" w:rsidRDefault="006E2DB0" w:rsidP="006E2DB0">
            <w:pPr>
              <w:jc w:val="center"/>
              <w:rPr>
                <w:b/>
              </w:rPr>
            </w:pPr>
            <w:r w:rsidRPr="00A64754">
              <w:rPr>
                <w:b/>
              </w:rPr>
              <w:t>CGP, Attachment</w:t>
            </w:r>
            <w:r>
              <w:rPr>
                <w:b/>
              </w:rPr>
              <w:t xml:space="preserve"> </w:t>
            </w:r>
            <w:r w:rsidRPr="00A64754">
              <w:rPr>
                <w:b/>
              </w:rPr>
              <w:t>D.</w:t>
            </w:r>
            <w:r>
              <w:rPr>
                <w:b/>
              </w:rPr>
              <w:t>I</w:t>
            </w:r>
            <w:r w:rsidRPr="00A64754">
              <w:rPr>
                <w:b/>
              </w:rPr>
              <w:t>.</w:t>
            </w:r>
            <w:r>
              <w:rPr>
                <w:b/>
              </w:rPr>
              <w:t>15</w:t>
            </w:r>
            <w:r w:rsidRPr="00A64754">
              <w:rPr>
                <w:b/>
              </w:rPr>
              <w:t>, E.</w:t>
            </w:r>
            <w:r>
              <w:rPr>
                <w:b/>
              </w:rPr>
              <w:t>I.15 NAL Exceedance Report</w:t>
            </w:r>
          </w:p>
        </w:tc>
        <w:tc>
          <w:tcPr>
            <w:tcW w:w="12435" w:type="dxa"/>
            <w:gridSpan w:val="2"/>
            <w:vAlign w:val="center"/>
          </w:tcPr>
          <w:p w:rsidR="006E2DB0" w:rsidRDefault="006E2DB0" w:rsidP="006E2DB0">
            <w:pPr>
              <w:ind w:left="72"/>
            </w:pPr>
            <w:r>
              <w:t>a. Risk level 2 and 3 dischargers shall electronically submit all storm event sampling results to the State Water Board no later than 10 days after the conclusion of the storm event. The Regional Boards have the authority to require the submittal of an NAL Exceedance Report.</w:t>
            </w:r>
          </w:p>
        </w:tc>
      </w:tr>
      <w:tr w:rsidR="006E2DB0" w:rsidTr="006E2DB0">
        <w:trPr>
          <w:trHeight w:val="432"/>
        </w:trPr>
        <w:tc>
          <w:tcPr>
            <w:tcW w:w="2358" w:type="dxa"/>
            <w:noWrap/>
            <w:vAlign w:val="center"/>
          </w:tcPr>
          <w:p w:rsidR="006E2DB0" w:rsidRPr="00286775" w:rsidRDefault="006E2DB0" w:rsidP="006E2DB0">
            <w:pPr>
              <w:jc w:val="center"/>
              <w:rPr>
                <w:b/>
              </w:rPr>
            </w:pPr>
            <w:r>
              <w:rPr>
                <w:b/>
              </w:rPr>
              <w:t>LT</w:t>
            </w:r>
            <w:r w:rsidRPr="00286775">
              <w:rPr>
                <w:b/>
              </w:rPr>
              <w:t xml:space="preserve">P, </w:t>
            </w:r>
            <w:r>
              <w:rPr>
                <w:b/>
              </w:rPr>
              <w:t>Attachment C.V</w:t>
            </w:r>
            <w:r w:rsidRPr="00D634E7">
              <w:rPr>
                <w:b/>
              </w:rPr>
              <w:t xml:space="preserve"> </w:t>
            </w:r>
            <w:r>
              <w:rPr>
                <w:b/>
              </w:rPr>
              <w:t>General Reporting Requirements</w:t>
            </w:r>
          </w:p>
        </w:tc>
        <w:tc>
          <w:tcPr>
            <w:tcW w:w="12435" w:type="dxa"/>
            <w:gridSpan w:val="2"/>
            <w:vAlign w:val="center"/>
          </w:tcPr>
          <w:p w:rsidR="006E2DB0" w:rsidRDefault="006E2DB0" w:rsidP="006E2DB0">
            <w:pPr>
              <w:tabs>
                <w:tab w:val="left" w:pos="1962"/>
                <w:tab w:val="left" w:pos="5202"/>
                <w:tab w:val="left" w:pos="7092"/>
                <w:tab w:val="left" w:pos="9702"/>
              </w:tabs>
              <w:ind w:left="72"/>
            </w:pPr>
            <w:r>
              <w:t>A. All data and reports must be submitted through the SMARTS and be certified by the LRP or an approved signatory.</w:t>
            </w:r>
          </w:p>
          <w:p w:rsidR="006E2DB0" w:rsidRDefault="006E2DB0" w:rsidP="006E2DB0">
            <w:pPr>
              <w:tabs>
                <w:tab w:val="left" w:pos="1962"/>
                <w:tab w:val="left" w:pos="5202"/>
                <w:tab w:val="left" w:pos="7092"/>
                <w:tab w:val="left" w:pos="9702"/>
              </w:tabs>
              <w:ind w:left="72"/>
            </w:pPr>
            <w:r>
              <w:t>B. All turbidity and pH analytical results collected from field instruments must be reported within five days after storm event conclusion. All other results determined by an analytical laboratory must be submitted within five days of receipt of the results from the laboratory.</w:t>
            </w:r>
          </w:p>
        </w:tc>
      </w:tr>
    </w:tbl>
    <w:p w:rsidR="007B347A" w:rsidRDefault="007B347A" w:rsidP="005C7AA8">
      <w:pPr>
        <w:spacing w:after="0"/>
        <w:jc w:val="center"/>
        <w:rPr>
          <w:szCs w:val="18"/>
        </w:rPr>
      </w:pPr>
    </w:p>
    <w:tbl>
      <w:tblPr>
        <w:tblStyle w:val="TableGrid"/>
        <w:tblW w:w="14793" w:type="dxa"/>
        <w:tblLook w:val="04A0" w:firstRow="1" w:lastRow="0" w:firstColumn="1" w:lastColumn="0" w:noHBand="0" w:noVBand="1"/>
      </w:tblPr>
      <w:tblGrid>
        <w:gridCol w:w="2358"/>
        <w:gridCol w:w="12435"/>
      </w:tblGrid>
      <w:tr w:rsidR="00AD7AD3" w:rsidRPr="00B55F29" w:rsidTr="00004B48">
        <w:trPr>
          <w:trHeight w:val="224"/>
        </w:trPr>
        <w:tc>
          <w:tcPr>
            <w:tcW w:w="2358" w:type="dxa"/>
            <w:noWrap/>
            <w:vAlign w:val="center"/>
          </w:tcPr>
          <w:p w:rsidR="00AD7AD3" w:rsidRDefault="00AD7AD3" w:rsidP="00004B48">
            <w:pPr>
              <w:jc w:val="center"/>
              <w:rPr>
                <w:b/>
              </w:rPr>
            </w:pPr>
          </w:p>
        </w:tc>
        <w:tc>
          <w:tcPr>
            <w:tcW w:w="12435" w:type="dxa"/>
            <w:vAlign w:val="center"/>
          </w:tcPr>
          <w:p w:rsidR="00AD7AD3" w:rsidRPr="00B55F29" w:rsidRDefault="00AD7AD3" w:rsidP="00004B48">
            <w:pPr>
              <w:ind w:left="93"/>
              <w:rPr>
                <w:b/>
                <w:bCs/>
                <w:szCs w:val="18"/>
              </w:rPr>
            </w:pPr>
          </w:p>
        </w:tc>
      </w:tr>
      <w:tr w:rsidR="00AD5310" w:rsidRPr="008E3D79" w:rsidTr="00AD5310">
        <w:trPr>
          <w:trHeight w:val="432"/>
        </w:trPr>
        <w:tc>
          <w:tcPr>
            <w:tcW w:w="2358" w:type="dxa"/>
            <w:shd w:val="clear" w:color="auto" w:fill="F2F2F2" w:themeFill="background1" w:themeFillShade="F2"/>
            <w:noWrap/>
            <w:vAlign w:val="center"/>
          </w:tcPr>
          <w:p w:rsidR="00AD5310" w:rsidRDefault="00AD5310" w:rsidP="00004B48">
            <w:pPr>
              <w:jc w:val="center"/>
              <w:rPr>
                <w:b/>
              </w:rPr>
            </w:pPr>
            <w:r>
              <w:rPr>
                <w:b/>
              </w:rPr>
              <w:t>E.3</w:t>
            </w:r>
          </w:p>
        </w:tc>
        <w:tc>
          <w:tcPr>
            <w:tcW w:w="12435" w:type="dxa"/>
            <w:shd w:val="clear" w:color="auto" w:fill="F2F2F2" w:themeFill="background1" w:themeFillShade="F2"/>
            <w:vAlign w:val="center"/>
          </w:tcPr>
          <w:p w:rsidR="00AD5310" w:rsidRPr="00AD5310" w:rsidRDefault="00AD5310" w:rsidP="00AD5310">
            <w:pPr>
              <w:ind w:left="93"/>
              <w:rPr>
                <w:bCs/>
                <w:szCs w:val="18"/>
              </w:rPr>
            </w:pPr>
            <w:r w:rsidRPr="00AD5310">
              <w:rPr>
                <w:bCs/>
                <w:szCs w:val="18"/>
              </w:rPr>
              <w:t xml:space="preserve">Is there a QSP Communication/Management Plan </w:t>
            </w:r>
            <w:r w:rsidR="00D673F1">
              <w:rPr>
                <w:bCs/>
                <w:szCs w:val="18"/>
              </w:rPr>
              <w:t xml:space="preserve">included </w:t>
            </w:r>
            <w:r w:rsidRPr="00AD5310">
              <w:rPr>
                <w:bCs/>
                <w:szCs w:val="18"/>
              </w:rPr>
              <w:t>in the SWPPP or on site?</w:t>
            </w:r>
          </w:p>
        </w:tc>
      </w:tr>
      <w:tr w:rsidR="00AD5310" w:rsidRPr="00C0618F" w:rsidTr="00004B48">
        <w:trPr>
          <w:trHeight w:val="432"/>
        </w:trPr>
        <w:tc>
          <w:tcPr>
            <w:tcW w:w="2358" w:type="dxa"/>
            <w:noWrap/>
            <w:vAlign w:val="center"/>
          </w:tcPr>
          <w:p w:rsidR="00AD5310" w:rsidRDefault="00AD5310">
            <w:pPr>
              <w:jc w:val="center"/>
              <w:rPr>
                <w:b/>
              </w:rPr>
            </w:pPr>
            <w:r>
              <w:rPr>
                <w:b/>
              </w:rPr>
              <w:t>LTP, Section VII.B.5</w:t>
            </w:r>
            <w:r w:rsidR="00D673F1">
              <w:rPr>
                <w:b/>
              </w:rPr>
              <w:t xml:space="preserve"> QSP Responsibilities</w:t>
            </w:r>
          </w:p>
        </w:tc>
        <w:tc>
          <w:tcPr>
            <w:tcW w:w="12435" w:type="dxa"/>
            <w:vAlign w:val="center"/>
          </w:tcPr>
          <w:p w:rsidR="00AD5310" w:rsidRDefault="00AD5310" w:rsidP="00AD5310">
            <w:pPr>
              <w:ind w:left="72"/>
              <w:rPr>
                <w:bCs/>
                <w:szCs w:val="18"/>
              </w:rPr>
            </w:pPr>
            <w:r>
              <w:rPr>
                <w:bCs/>
                <w:szCs w:val="18"/>
              </w:rPr>
              <w:t>The SWPPP must include a written plan describing how the QSP will oversee and manage all SWPPP activities and the discharger must maintain written records documenting the QSP’s plan implementation and effectiveness.  The QSP must directly manage these activities by being present at the site and/or through a communication plan that allows the QSP to actively and effectively manage trained personnel conducting the SWPPP activities.  The QSP Management Plan must show how the QSP plans to inspect and report all of the required visual inspections and monitoring requirements, prepare and implement REAPs, prepare and submit water quality exceedance reports, ensure that all employees have current water pollution control training, and correct construction activities damaging water pollution control practices or causing water pollution.</w:t>
            </w:r>
          </w:p>
        </w:tc>
      </w:tr>
    </w:tbl>
    <w:p w:rsidR="00AD7AD3" w:rsidRDefault="00AD7AD3" w:rsidP="005C7AA8">
      <w:pPr>
        <w:spacing w:after="0"/>
        <w:jc w:val="center"/>
        <w:rPr>
          <w:szCs w:val="18"/>
        </w:rPr>
      </w:pPr>
    </w:p>
    <w:tbl>
      <w:tblPr>
        <w:tblStyle w:val="TableGrid"/>
        <w:tblW w:w="14793" w:type="dxa"/>
        <w:tblLook w:val="04A0" w:firstRow="1" w:lastRow="0" w:firstColumn="1" w:lastColumn="0" w:noHBand="0" w:noVBand="1"/>
      </w:tblPr>
      <w:tblGrid>
        <w:gridCol w:w="2358"/>
        <w:gridCol w:w="12435"/>
      </w:tblGrid>
      <w:tr w:rsidR="00D673F1" w:rsidRPr="00B55F29" w:rsidTr="00DA201C">
        <w:trPr>
          <w:trHeight w:val="224"/>
        </w:trPr>
        <w:tc>
          <w:tcPr>
            <w:tcW w:w="2358" w:type="dxa"/>
            <w:noWrap/>
            <w:vAlign w:val="center"/>
          </w:tcPr>
          <w:p w:rsidR="00D673F1" w:rsidRDefault="00D673F1" w:rsidP="00DA201C">
            <w:pPr>
              <w:jc w:val="center"/>
              <w:rPr>
                <w:b/>
              </w:rPr>
            </w:pPr>
          </w:p>
        </w:tc>
        <w:tc>
          <w:tcPr>
            <w:tcW w:w="12435" w:type="dxa"/>
            <w:vAlign w:val="center"/>
          </w:tcPr>
          <w:p w:rsidR="00D673F1" w:rsidRPr="00B55F29" w:rsidRDefault="00D673F1" w:rsidP="00DA201C">
            <w:pPr>
              <w:ind w:left="93"/>
              <w:rPr>
                <w:b/>
                <w:bCs/>
                <w:szCs w:val="18"/>
              </w:rPr>
            </w:pPr>
          </w:p>
        </w:tc>
      </w:tr>
      <w:tr w:rsidR="00D673F1" w:rsidRPr="008E3D79" w:rsidTr="00DA201C">
        <w:trPr>
          <w:trHeight w:val="432"/>
        </w:trPr>
        <w:tc>
          <w:tcPr>
            <w:tcW w:w="2358" w:type="dxa"/>
            <w:shd w:val="clear" w:color="auto" w:fill="F2F2F2" w:themeFill="background1" w:themeFillShade="F2"/>
            <w:noWrap/>
            <w:vAlign w:val="center"/>
          </w:tcPr>
          <w:p w:rsidR="00D673F1" w:rsidRDefault="00D673F1" w:rsidP="00D673F1">
            <w:pPr>
              <w:jc w:val="center"/>
              <w:rPr>
                <w:b/>
              </w:rPr>
            </w:pPr>
            <w:r>
              <w:rPr>
                <w:b/>
              </w:rPr>
              <w:t>E.4</w:t>
            </w:r>
          </w:p>
        </w:tc>
        <w:tc>
          <w:tcPr>
            <w:tcW w:w="12435" w:type="dxa"/>
            <w:shd w:val="clear" w:color="auto" w:fill="F2F2F2" w:themeFill="background1" w:themeFillShade="F2"/>
            <w:vAlign w:val="center"/>
          </w:tcPr>
          <w:p w:rsidR="00D673F1" w:rsidRPr="00AD5310" w:rsidRDefault="00D673F1" w:rsidP="00D673F1">
            <w:pPr>
              <w:ind w:left="93"/>
              <w:rPr>
                <w:bCs/>
                <w:szCs w:val="18"/>
              </w:rPr>
            </w:pPr>
            <w:r w:rsidRPr="00AD5310">
              <w:rPr>
                <w:bCs/>
                <w:szCs w:val="18"/>
              </w:rPr>
              <w:t xml:space="preserve">Is there a </w:t>
            </w:r>
            <w:r>
              <w:rPr>
                <w:bCs/>
                <w:szCs w:val="18"/>
              </w:rPr>
              <w:t>dewatering/diversion plan included as part of the SWPPP if required?</w:t>
            </w:r>
          </w:p>
        </w:tc>
      </w:tr>
      <w:tr w:rsidR="00D673F1" w:rsidRPr="00C0618F" w:rsidTr="00DA201C">
        <w:trPr>
          <w:trHeight w:val="432"/>
        </w:trPr>
        <w:tc>
          <w:tcPr>
            <w:tcW w:w="2358" w:type="dxa"/>
            <w:noWrap/>
            <w:vAlign w:val="center"/>
          </w:tcPr>
          <w:p w:rsidR="00D673F1" w:rsidRDefault="00D673F1" w:rsidP="00D673F1">
            <w:pPr>
              <w:jc w:val="center"/>
              <w:rPr>
                <w:b/>
              </w:rPr>
            </w:pPr>
            <w:r>
              <w:rPr>
                <w:b/>
              </w:rPr>
              <w:t>LTP, Section VIII.C Construction Site Dewatering or Diversions</w:t>
            </w:r>
          </w:p>
        </w:tc>
        <w:tc>
          <w:tcPr>
            <w:tcW w:w="12435" w:type="dxa"/>
            <w:vAlign w:val="center"/>
          </w:tcPr>
          <w:p w:rsidR="00D673F1" w:rsidRDefault="00D673F1" w:rsidP="00DA201C">
            <w:pPr>
              <w:ind w:left="72"/>
              <w:rPr>
                <w:bCs/>
                <w:szCs w:val="18"/>
              </w:rPr>
            </w:pPr>
            <w:r>
              <w:rPr>
                <w:bCs/>
                <w:szCs w:val="18"/>
              </w:rPr>
              <w:t>The SWPPP must include a written plan describing how the QSP will oversee and manage all SWPPP activities and the discharger must maintain written records documenting the QSP’s plan implementation and effectiveness.  The QSP must directly manage these activities by being present at the site and/or through a communication plan that allows the QSP to actively and effectively manage trained personnel conducting the SWPPP activities.  The QSP Management Plan must show how the QSP plans to inspect and report all of the required visual inspections and monitoring requirements, prepare and implement REAPs, prepare and submit water quality exceedance reports, ensure that all employees have current water pollution control training, and correct construction activities damaging water pollution control practices or causing water pollution.</w:t>
            </w:r>
          </w:p>
        </w:tc>
      </w:tr>
    </w:tbl>
    <w:p w:rsidR="00D673F1" w:rsidRDefault="00D673F1" w:rsidP="005C7AA8">
      <w:pPr>
        <w:spacing w:after="0"/>
        <w:jc w:val="center"/>
        <w:rPr>
          <w:szCs w:val="18"/>
        </w:rPr>
      </w:pPr>
    </w:p>
    <w:sectPr w:rsidR="00D673F1" w:rsidSect="00AD7AD3">
      <w:headerReference w:type="default" r:id="rId9"/>
      <w:footerReference w:type="default" r:id="rId10"/>
      <w:pgSz w:w="15840" w:h="12240" w:orient="landscape" w:code="1"/>
      <w:pgMar w:top="432" w:right="720" w:bottom="432"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870" w:rsidRDefault="001F4870" w:rsidP="00EE1060">
      <w:pPr>
        <w:spacing w:after="0" w:line="240" w:lineRule="auto"/>
      </w:pPr>
      <w:r>
        <w:separator/>
      </w:r>
    </w:p>
  </w:endnote>
  <w:endnote w:type="continuationSeparator" w:id="0">
    <w:p w:rsidR="001F4870" w:rsidRDefault="001F4870"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25087C" w:rsidRDefault="0025087C"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872CC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2CCD">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870" w:rsidRDefault="001F4870" w:rsidP="00EE1060">
      <w:pPr>
        <w:spacing w:after="0" w:line="240" w:lineRule="auto"/>
      </w:pPr>
      <w:r>
        <w:separator/>
      </w:r>
    </w:p>
  </w:footnote>
  <w:footnote w:type="continuationSeparator" w:id="0">
    <w:p w:rsidR="001F4870" w:rsidRDefault="001F4870"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7C" w:rsidRDefault="0025087C" w:rsidP="00AD7AD3">
    <w:pPr>
      <w:tabs>
        <w:tab w:val="left" w:pos="0"/>
        <w:tab w:val="center" w:pos="7200"/>
        <w:tab w:val="left" w:pos="9594"/>
      </w:tabs>
      <w:spacing w:after="0"/>
      <w:rPr>
        <w:b/>
        <w:sz w:val="20"/>
        <w:szCs w:val="20"/>
      </w:rPr>
    </w:pPr>
    <w:r>
      <w:rPr>
        <w:b/>
        <w:sz w:val="20"/>
        <w:szCs w:val="20"/>
      </w:rPr>
      <w:tab/>
      <w:t>CCEP ADMINISTRATIVE REVIEW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3A1"/>
    <w:multiLevelType w:val="hybridMultilevel"/>
    <w:tmpl w:val="D39EDFA6"/>
    <w:lvl w:ilvl="0" w:tplc="18F6E976">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e Korfas">
    <w15:presenceInfo w15:providerId="AD" w15:userId="S-1-5-21-2147242726-36331580-188441444-12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27826"/>
    <w:rsid w:val="0003019F"/>
    <w:rsid w:val="000605BF"/>
    <w:rsid w:val="00074B5B"/>
    <w:rsid w:val="00085E40"/>
    <w:rsid w:val="000A24FE"/>
    <w:rsid w:val="000A4B84"/>
    <w:rsid w:val="000F1733"/>
    <w:rsid w:val="00133E1D"/>
    <w:rsid w:val="00134BB9"/>
    <w:rsid w:val="001361EB"/>
    <w:rsid w:val="00141DF7"/>
    <w:rsid w:val="00150333"/>
    <w:rsid w:val="00153370"/>
    <w:rsid w:val="00164AF1"/>
    <w:rsid w:val="00165760"/>
    <w:rsid w:val="00172AE0"/>
    <w:rsid w:val="00183AD7"/>
    <w:rsid w:val="001A058F"/>
    <w:rsid w:val="001A42E7"/>
    <w:rsid w:val="001B31E8"/>
    <w:rsid w:val="001C0341"/>
    <w:rsid w:val="001C4E44"/>
    <w:rsid w:val="001D297C"/>
    <w:rsid w:val="001D42E1"/>
    <w:rsid w:val="001F0975"/>
    <w:rsid w:val="001F4870"/>
    <w:rsid w:val="00213974"/>
    <w:rsid w:val="00220AC1"/>
    <w:rsid w:val="00230028"/>
    <w:rsid w:val="0025087C"/>
    <w:rsid w:val="00250DBD"/>
    <w:rsid w:val="002A6706"/>
    <w:rsid w:val="002A7822"/>
    <w:rsid w:val="002B6776"/>
    <w:rsid w:val="002C792B"/>
    <w:rsid w:val="002D2240"/>
    <w:rsid w:val="002E6017"/>
    <w:rsid w:val="00313884"/>
    <w:rsid w:val="003217AB"/>
    <w:rsid w:val="00343251"/>
    <w:rsid w:val="00357042"/>
    <w:rsid w:val="003839F4"/>
    <w:rsid w:val="00384E42"/>
    <w:rsid w:val="003950DA"/>
    <w:rsid w:val="004240A0"/>
    <w:rsid w:val="0042675B"/>
    <w:rsid w:val="004550DA"/>
    <w:rsid w:val="004560D6"/>
    <w:rsid w:val="004658AF"/>
    <w:rsid w:val="00466673"/>
    <w:rsid w:val="004760D2"/>
    <w:rsid w:val="00477A96"/>
    <w:rsid w:val="00485123"/>
    <w:rsid w:val="00490556"/>
    <w:rsid w:val="004A565C"/>
    <w:rsid w:val="004C0BD6"/>
    <w:rsid w:val="004C12FD"/>
    <w:rsid w:val="004D3C7D"/>
    <w:rsid w:val="004F519E"/>
    <w:rsid w:val="00506608"/>
    <w:rsid w:val="00507744"/>
    <w:rsid w:val="005166A9"/>
    <w:rsid w:val="00535D79"/>
    <w:rsid w:val="005369ED"/>
    <w:rsid w:val="005437F5"/>
    <w:rsid w:val="00545A12"/>
    <w:rsid w:val="00557711"/>
    <w:rsid w:val="00570984"/>
    <w:rsid w:val="00582776"/>
    <w:rsid w:val="005A3EC9"/>
    <w:rsid w:val="005C2D55"/>
    <w:rsid w:val="005C5BE7"/>
    <w:rsid w:val="005C7AA8"/>
    <w:rsid w:val="005E2733"/>
    <w:rsid w:val="005E6BE1"/>
    <w:rsid w:val="005F62E6"/>
    <w:rsid w:val="0060541A"/>
    <w:rsid w:val="006077AA"/>
    <w:rsid w:val="006125F2"/>
    <w:rsid w:val="0062159A"/>
    <w:rsid w:val="0063235C"/>
    <w:rsid w:val="00640ED9"/>
    <w:rsid w:val="00651934"/>
    <w:rsid w:val="00657643"/>
    <w:rsid w:val="00670A97"/>
    <w:rsid w:val="006719E8"/>
    <w:rsid w:val="00683A27"/>
    <w:rsid w:val="00692897"/>
    <w:rsid w:val="006A41C8"/>
    <w:rsid w:val="006A6109"/>
    <w:rsid w:val="006A6281"/>
    <w:rsid w:val="006E05B0"/>
    <w:rsid w:val="006E0DD5"/>
    <w:rsid w:val="006E2DB0"/>
    <w:rsid w:val="006F371D"/>
    <w:rsid w:val="007032EF"/>
    <w:rsid w:val="00722CE9"/>
    <w:rsid w:val="00736865"/>
    <w:rsid w:val="00740EDB"/>
    <w:rsid w:val="007426CD"/>
    <w:rsid w:val="00742DF1"/>
    <w:rsid w:val="00744F46"/>
    <w:rsid w:val="00756626"/>
    <w:rsid w:val="00760C62"/>
    <w:rsid w:val="00776229"/>
    <w:rsid w:val="00785A40"/>
    <w:rsid w:val="0079164F"/>
    <w:rsid w:val="007B347A"/>
    <w:rsid w:val="007D0045"/>
    <w:rsid w:val="007E31F6"/>
    <w:rsid w:val="007E5424"/>
    <w:rsid w:val="00844C64"/>
    <w:rsid w:val="008622D0"/>
    <w:rsid w:val="00872CCD"/>
    <w:rsid w:val="008929BB"/>
    <w:rsid w:val="008A1EE1"/>
    <w:rsid w:val="008A4924"/>
    <w:rsid w:val="008B4348"/>
    <w:rsid w:val="008D219B"/>
    <w:rsid w:val="008E3D79"/>
    <w:rsid w:val="008F4E90"/>
    <w:rsid w:val="009471AB"/>
    <w:rsid w:val="00961AA7"/>
    <w:rsid w:val="009658EE"/>
    <w:rsid w:val="009775F0"/>
    <w:rsid w:val="0099031A"/>
    <w:rsid w:val="009E05D5"/>
    <w:rsid w:val="009F0DF5"/>
    <w:rsid w:val="00A06DB8"/>
    <w:rsid w:val="00A4058A"/>
    <w:rsid w:val="00A5204F"/>
    <w:rsid w:val="00A64754"/>
    <w:rsid w:val="00A92DA9"/>
    <w:rsid w:val="00AA1A3D"/>
    <w:rsid w:val="00AB375E"/>
    <w:rsid w:val="00AB454F"/>
    <w:rsid w:val="00AD5310"/>
    <w:rsid w:val="00AD7AD3"/>
    <w:rsid w:val="00AE780F"/>
    <w:rsid w:val="00B13C40"/>
    <w:rsid w:val="00B17F47"/>
    <w:rsid w:val="00B211D0"/>
    <w:rsid w:val="00B33653"/>
    <w:rsid w:val="00B457FA"/>
    <w:rsid w:val="00B55F29"/>
    <w:rsid w:val="00B61E23"/>
    <w:rsid w:val="00B72386"/>
    <w:rsid w:val="00BA6F3F"/>
    <w:rsid w:val="00BB4F30"/>
    <w:rsid w:val="00BC6A7E"/>
    <w:rsid w:val="00BD3CDA"/>
    <w:rsid w:val="00C03DAA"/>
    <w:rsid w:val="00C04028"/>
    <w:rsid w:val="00C36452"/>
    <w:rsid w:val="00C4222C"/>
    <w:rsid w:val="00C73030"/>
    <w:rsid w:val="00C85F7D"/>
    <w:rsid w:val="00C933B4"/>
    <w:rsid w:val="00C94FFF"/>
    <w:rsid w:val="00C97A65"/>
    <w:rsid w:val="00CA1DCD"/>
    <w:rsid w:val="00CB1C63"/>
    <w:rsid w:val="00CD69FF"/>
    <w:rsid w:val="00CE198B"/>
    <w:rsid w:val="00CE4043"/>
    <w:rsid w:val="00D039E1"/>
    <w:rsid w:val="00D066E1"/>
    <w:rsid w:val="00D07272"/>
    <w:rsid w:val="00D3117A"/>
    <w:rsid w:val="00D3521C"/>
    <w:rsid w:val="00D404B8"/>
    <w:rsid w:val="00D40DF1"/>
    <w:rsid w:val="00D634E7"/>
    <w:rsid w:val="00D673F1"/>
    <w:rsid w:val="00D72A25"/>
    <w:rsid w:val="00D72D6D"/>
    <w:rsid w:val="00D7421F"/>
    <w:rsid w:val="00D87FB7"/>
    <w:rsid w:val="00D96930"/>
    <w:rsid w:val="00DA1AB1"/>
    <w:rsid w:val="00DB294F"/>
    <w:rsid w:val="00DE20ED"/>
    <w:rsid w:val="00DE2510"/>
    <w:rsid w:val="00DF12F6"/>
    <w:rsid w:val="00E0650C"/>
    <w:rsid w:val="00E07FA1"/>
    <w:rsid w:val="00E129FE"/>
    <w:rsid w:val="00E60ABF"/>
    <w:rsid w:val="00E8050A"/>
    <w:rsid w:val="00E82C1D"/>
    <w:rsid w:val="00E9452A"/>
    <w:rsid w:val="00EB4D57"/>
    <w:rsid w:val="00EB731D"/>
    <w:rsid w:val="00EE1060"/>
    <w:rsid w:val="00EE3866"/>
    <w:rsid w:val="00F102C2"/>
    <w:rsid w:val="00F317D9"/>
    <w:rsid w:val="00F31D85"/>
    <w:rsid w:val="00F8244B"/>
    <w:rsid w:val="00F83D72"/>
    <w:rsid w:val="00F85ACA"/>
    <w:rsid w:val="00F94E66"/>
    <w:rsid w:val="00FA65DB"/>
    <w:rsid w:val="00FC1463"/>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DB2E5-55C6-49AF-8C8E-49CB8191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2</cp:revision>
  <cp:lastPrinted>2014-03-11T16:55:00Z</cp:lastPrinted>
  <dcterms:created xsi:type="dcterms:W3CDTF">2017-04-24T22:33:00Z</dcterms:created>
  <dcterms:modified xsi:type="dcterms:W3CDTF">2017-04-24T22:33:00Z</dcterms:modified>
</cp:coreProperties>
</file>