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598" w:type="dxa"/>
        <w:tblLook w:val="04A0" w:firstRow="1" w:lastRow="0" w:firstColumn="1" w:lastColumn="0" w:noHBand="0" w:noVBand="1"/>
      </w:tblPr>
      <w:tblGrid>
        <w:gridCol w:w="2358"/>
        <w:gridCol w:w="12240"/>
      </w:tblGrid>
      <w:tr w:rsidR="00D72D6D" w:rsidRPr="00B55F29" w:rsidTr="00BC3650">
        <w:trPr>
          <w:trHeight w:val="20"/>
        </w:trPr>
        <w:tc>
          <w:tcPr>
            <w:tcW w:w="2358" w:type="dxa"/>
            <w:noWrap/>
            <w:vAlign w:val="center"/>
          </w:tcPr>
          <w:p w:rsidR="00D72D6D" w:rsidRPr="00776229" w:rsidRDefault="00D72D6D" w:rsidP="00D72D6D">
            <w:pPr>
              <w:jc w:val="center"/>
              <w:rPr>
                <w:b/>
              </w:rPr>
            </w:pPr>
            <w:bookmarkStart w:id="0" w:name="_GoBack"/>
            <w:bookmarkEnd w:id="0"/>
            <w:r>
              <w:rPr>
                <w:b/>
              </w:rPr>
              <w:t>QUESTION</w:t>
            </w:r>
          </w:p>
        </w:tc>
        <w:tc>
          <w:tcPr>
            <w:tcW w:w="12240"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BC3650">
        <w:trPr>
          <w:trHeight w:val="20"/>
        </w:trPr>
        <w:tc>
          <w:tcPr>
            <w:tcW w:w="2358" w:type="dxa"/>
            <w:shd w:val="clear" w:color="auto" w:fill="F2F2F2" w:themeFill="background1" w:themeFillShade="F2"/>
            <w:noWrap/>
            <w:vAlign w:val="center"/>
          </w:tcPr>
          <w:p w:rsidR="00D72D6D" w:rsidRDefault="005166A9" w:rsidP="00535D79">
            <w:pPr>
              <w:jc w:val="center"/>
              <w:rPr>
                <w:b/>
              </w:rPr>
            </w:pPr>
            <w:r>
              <w:rPr>
                <w:b/>
              </w:rPr>
              <w:t>N</w:t>
            </w:r>
            <w:r w:rsidR="008E3D79">
              <w:rPr>
                <w:b/>
              </w:rPr>
              <w:t>S</w:t>
            </w:r>
            <w:r w:rsidR="00535D79">
              <w:rPr>
                <w:b/>
              </w:rPr>
              <w:t>2</w:t>
            </w:r>
            <w:r w:rsidR="008E3D79">
              <w:rPr>
                <w:b/>
              </w:rPr>
              <w:t>.1</w:t>
            </w:r>
          </w:p>
        </w:tc>
        <w:tc>
          <w:tcPr>
            <w:tcW w:w="12240" w:type="dxa"/>
            <w:shd w:val="clear" w:color="auto" w:fill="F2F2F2" w:themeFill="background1" w:themeFillShade="F2"/>
            <w:vAlign w:val="center"/>
          </w:tcPr>
          <w:p w:rsidR="00D72D6D" w:rsidRPr="008E3D79" w:rsidRDefault="005166A9" w:rsidP="00535D79">
            <w:pPr>
              <w:ind w:left="93"/>
              <w:rPr>
                <w:bCs/>
                <w:szCs w:val="18"/>
              </w:rPr>
            </w:pPr>
            <w:r>
              <w:rPr>
                <w:bCs/>
                <w:szCs w:val="18"/>
              </w:rPr>
              <w:t xml:space="preserve">Are </w:t>
            </w:r>
            <w:r w:rsidR="00535D79">
              <w:rPr>
                <w:bCs/>
                <w:szCs w:val="18"/>
              </w:rPr>
              <w:t xml:space="preserve">Dewatering </w:t>
            </w:r>
            <w:r>
              <w:rPr>
                <w:bCs/>
                <w:szCs w:val="18"/>
              </w:rPr>
              <w:t>practices</w:t>
            </w:r>
            <w:r w:rsidR="008E3D79">
              <w:rPr>
                <w:bCs/>
                <w:szCs w:val="18"/>
              </w:rPr>
              <w:t xml:space="preserve"> applied </w:t>
            </w:r>
            <w:r w:rsidR="00384E42">
              <w:rPr>
                <w:bCs/>
                <w:szCs w:val="18"/>
              </w:rPr>
              <w:t>as required</w:t>
            </w:r>
            <w:r w:rsidR="008E3D79">
              <w:rPr>
                <w:bCs/>
                <w:szCs w:val="18"/>
              </w:rPr>
              <w:t>?</w:t>
            </w:r>
          </w:p>
        </w:tc>
      </w:tr>
      <w:tr w:rsidR="008D2E22" w:rsidRPr="00B55F29" w:rsidTr="00BC3650">
        <w:trPr>
          <w:trHeight w:val="20"/>
        </w:trPr>
        <w:tc>
          <w:tcPr>
            <w:tcW w:w="2358" w:type="dxa"/>
            <w:noWrap/>
            <w:vAlign w:val="center"/>
          </w:tcPr>
          <w:p w:rsidR="008D2E22" w:rsidRPr="00D96930" w:rsidRDefault="008D2E22" w:rsidP="000633B2">
            <w:pPr>
              <w:jc w:val="center"/>
              <w:rPr>
                <w:b/>
              </w:rPr>
            </w:pPr>
            <w:r w:rsidRPr="00286775">
              <w:rPr>
                <w:b/>
              </w:rPr>
              <w:t>SPECs, 13-4.03G Dewatering</w:t>
            </w:r>
          </w:p>
        </w:tc>
        <w:tc>
          <w:tcPr>
            <w:tcW w:w="12240" w:type="dxa"/>
            <w:vAlign w:val="center"/>
          </w:tcPr>
          <w:p w:rsidR="008D2E22" w:rsidRDefault="008D2E22" w:rsidP="000633B2">
            <w:pPr>
              <w:ind w:left="72"/>
            </w:pPr>
            <w:r>
              <w:t xml:space="preserve">Dewatering consists of discharging accumulated </w:t>
            </w:r>
            <w:proofErr w:type="spellStart"/>
            <w:r>
              <w:t>stormwater</w:t>
            </w:r>
            <w:proofErr w:type="spellEnd"/>
            <w:r>
              <w:t>, groundwater, or surface water from excavations or temporary containment facilities.</w:t>
            </w:r>
          </w:p>
          <w:p w:rsidR="008D2E22" w:rsidRPr="00C0618F" w:rsidRDefault="008D2E22" w:rsidP="008D2E22">
            <w:pPr>
              <w:ind w:left="72"/>
            </w:pPr>
            <w:r>
              <w:t>Perform dewatering work as specified for the work items involved, such as temporary active treatment system or dewatering and discharge.</w:t>
            </w:r>
          </w:p>
        </w:tc>
      </w:tr>
      <w:tr w:rsidR="005166A9" w:rsidRPr="00B55F29" w:rsidTr="00BC3650">
        <w:trPr>
          <w:trHeight w:val="20"/>
        </w:trPr>
        <w:tc>
          <w:tcPr>
            <w:tcW w:w="2358" w:type="dxa"/>
            <w:noWrap/>
            <w:vAlign w:val="center"/>
          </w:tcPr>
          <w:p w:rsidR="005166A9" w:rsidRPr="00D96930" w:rsidRDefault="005166A9" w:rsidP="005166A9">
            <w:pPr>
              <w:jc w:val="center"/>
              <w:rPr>
                <w:b/>
              </w:rPr>
            </w:pPr>
            <w:r w:rsidRPr="00FC7244">
              <w:rPr>
                <w:b/>
              </w:rPr>
              <w:t>CGP, Attachment C.C.1</w:t>
            </w:r>
            <w:r>
              <w:rPr>
                <w:b/>
              </w:rPr>
              <w:t>;</w:t>
            </w:r>
            <w:r w:rsidRPr="00FC7244">
              <w:rPr>
                <w:b/>
              </w:rPr>
              <w:t xml:space="preserve"> D.C.1</w:t>
            </w:r>
            <w:r>
              <w:rPr>
                <w:b/>
              </w:rPr>
              <w:t>;</w:t>
            </w:r>
            <w:r w:rsidRPr="00FC7244">
              <w:rPr>
                <w:b/>
              </w:rPr>
              <w:t xml:space="preserve"> E.C.1</w:t>
            </w:r>
          </w:p>
        </w:tc>
        <w:tc>
          <w:tcPr>
            <w:tcW w:w="12240" w:type="dxa"/>
            <w:vAlign w:val="center"/>
          </w:tcPr>
          <w:p w:rsidR="005166A9" w:rsidRPr="00C0618F" w:rsidRDefault="005166A9" w:rsidP="005166A9">
            <w:pPr>
              <w:ind w:left="72"/>
            </w:pPr>
            <w:r w:rsidRPr="00FC7244">
              <w:t>Risk Level 1</w:t>
            </w:r>
            <w:r>
              <w:t>, 2 and 3</w:t>
            </w:r>
            <w:r w:rsidRPr="00FC7244">
              <w:t xml:space="preserve"> dischargers shall implement measures to control all non-storm water discharges during construction.</w:t>
            </w:r>
          </w:p>
        </w:tc>
      </w:tr>
      <w:tr w:rsidR="00535D79" w:rsidTr="00BC3650">
        <w:tc>
          <w:tcPr>
            <w:tcW w:w="2358" w:type="dxa"/>
            <w:vAlign w:val="center"/>
          </w:tcPr>
          <w:p w:rsidR="00535D79" w:rsidRPr="00D96930" w:rsidRDefault="00535D79" w:rsidP="00535D79">
            <w:pPr>
              <w:jc w:val="center"/>
              <w:rPr>
                <w:b/>
              </w:rPr>
            </w:pPr>
            <w:r w:rsidRPr="00286775">
              <w:rPr>
                <w:b/>
              </w:rPr>
              <w:t>CGP, Order III.C</w:t>
            </w:r>
          </w:p>
        </w:tc>
        <w:tc>
          <w:tcPr>
            <w:tcW w:w="12240" w:type="dxa"/>
          </w:tcPr>
          <w:p w:rsidR="00535D79" w:rsidRDefault="00535D79" w:rsidP="00535D79">
            <w:pPr>
              <w:ind w:left="72"/>
            </w:pPr>
            <w:r>
              <w:t>Authorized non-storm water discharges may include those from dechlorinated potable water sources such as:</w:t>
            </w:r>
          </w:p>
          <w:p w:rsidR="00535D79" w:rsidRDefault="00535D79" w:rsidP="00535D79">
            <w:pPr>
              <w:tabs>
                <w:tab w:val="left" w:pos="1962"/>
                <w:tab w:val="left" w:pos="5742"/>
              </w:tabs>
              <w:ind w:left="72"/>
            </w:pPr>
            <w:r>
              <w:t>- fire hydrant flushing,</w:t>
            </w:r>
            <w:r>
              <w:tab/>
              <w:t xml:space="preserve">irrigation of vegetative erosion control - measures, </w:t>
            </w:r>
            <w:r>
              <w:tab/>
              <w:t xml:space="preserve">pipe flushing and testing, </w:t>
            </w:r>
            <w:r>
              <w:tab/>
              <w:t xml:space="preserve">water to control dust, </w:t>
            </w:r>
          </w:p>
          <w:p w:rsidR="00535D79" w:rsidRDefault="00535D79" w:rsidP="00535D79">
            <w:pPr>
              <w:ind w:left="72"/>
            </w:pPr>
            <w:r>
              <w:t>- uncontaminated ground water from dewatering, and other discharges not subject to a separate general NPDES permit adopted by a Regional Water Board.</w:t>
            </w:r>
          </w:p>
          <w:p w:rsidR="00535D79" w:rsidRDefault="00535D79" w:rsidP="00535D79">
            <w:pPr>
              <w:ind w:left="72"/>
            </w:pPr>
            <w:r>
              <w:t>The discharge of non-storm water is authorized under the following conditions:</w:t>
            </w:r>
          </w:p>
          <w:p w:rsidR="00535D79" w:rsidRDefault="00535D79" w:rsidP="00535D79">
            <w:pPr>
              <w:ind w:left="72"/>
            </w:pPr>
            <w:r>
              <w:t>1. The discharge does not cause or contribute to a violation of any water quality standard;</w:t>
            </w:r>
          </w:p>
          <w:p w:rsidR="00535D79" w:rsidRDefault="00535D79" w:rsidP="00535D79">
            <w:pPr>
              <w:ind w:left="72"/>
            </w:pPr>
            <w:r>
              <w:t>2. The discharge does not violate any other provision of this General Permit;</w:t>
            </w:r>
          </w:p>
          <w:p w:rsidR="00535D79" w:rsidRDefault="00535D79" w:rsidP="00535D79">
            <w:pPr>
              <w:ind w:left="72"/>
            </w:pPr>
            <w:r>
              <w:t>3. The discharge is not prohibited by the applicable Basin Plan;</w:t>
            </w:r>
          </w:p>
          <w:p w:rsidR="00535D79" w:rsidRDefault="00535D79" w:rsidP="00535D79">
            <w:pPr>
              <w:ind w:left="72"/>
            </w:pPr>
            <w:r>
              <w:t>4. The discharger has included and implemented specific BMPs required by this General Permit to prevent or reduce the contact of the non-</w:t>
            </w:r>
            <w:proofErr w:type="spellStart"/>
            <w:r>
              <w:t>stormwater</w:t>
            </w:r>
            <w:proofErr w:type="spellEnd"/>
            <w:r>
              <w:t xml:space="preserve"> discharge with construction materials or equipment.</w:t>
            </w:r>
          </w:p>
          <w:p w:rsidR="00535D79" w:rsidRDefault="00535D79" w:rsidP="00535D79">
            <w:pPr>
              <w:ind w:left="72"/>
            </w:pPr>
            <w:r>
              <w:t>5. The discharge does not contain toxic constituents in toxic amounts or (other) significant quantities of pollutants;</w:t>
            </w:r>
          </w:p>
          <w:p w:rsidR="00535D79" w:rsidRDefault="00535D79" w:rsidP="00535D79">
            <w:pPr>
              <w:ind w:left="72"/>
            </w:pPr>
            <w:r>
              <w:t>6. The discharge is monitored and meets the applicable NALs; and</w:t>
            </w:r>
          </w:p>
          <w:p w:rsidR="00535D79" w:rsidRDefault="00535D79" w:rsidP="00535D79">
            <w:pPr>
              <w:ind w:left="72"/>
            </w:pPr>
            <w:r>
              <w:t>7. The discharger reports the sampling information in the Annual Report.</w:t>
            </w:r>
          </w:p>
          <w:p w:rsidR="00535D79" w:rsidRDefault="00535D79" w:rsidP="00535D79">
            <w:pPr>
              <w:ind w:left="72"/>
            </w:pPr>
            <w:r>
              <w:t>If any of the above conditions are not satisfied, the discharge is not authorized by this General Permit.</w:t>
            </w:r>
          </w:p>
        </w:tc>
      </w:tr>
      <w:tr w:rsidR="00CC635B" w:rsidTr="00BC3650">
        <w:tc>
          <w:tcPr>
            <w:tcW w:w="2358" w:type="dxa"/>
            <w:vAlign w:val="center"/>
          </w:tcPr>
          <w:p w:rsidR="00CC635B" w:rsidRPr="00CC635B" w:rsidRDefault="00CC635B" w:rsidP="00F17B5E">
            <w:pPr>
              <w:jc w:val="center"/>
              <w:rPr>
                <w:szCs w:val="18"/>
              </w:rPr>
            </w:pPr>
            <w:r w:rsidRPr="00CC635B">
              <w:rPr>
                <w:b/>
                <w:bCs/>
                <w:sz w:val="16"/>
                <w:szCs w:val="16"/>
              </w:rPr>
              <w:t>LTP, VIII-C</w:t>
            </w:r>
          </w:p>
        </w:tc>
        <w:tc>
          <w:tcPr>
            <w:tcW w:w="12240" w:type="dxa"/>
            <w:vAlign w:val="center"/>
          </w:tcPr>
          <w:p w:rsidR="00CC635B" w:rsidRPr="00CC635B" w:rsidRDefault="00CC635B" w:rsidP="00F17B5E">
            <w:pPr>
              <w:autoSpaceDE w:val="0"/>
              <w:autoSpaceDN w:val="0"/>
              <w:adjustRightInd w:val="0"/>
              <w:ind w:left="72"/>
              <w:rPr>
                <w:rFonts w:cs="Helvetica"/>
                <w:szCs w:val="18"/>
              </w:rPr>
            </w:pPr>
            <w:r>
              <w:rPr>
                <w:rFonts w:cs="Helvetica"/>
                <w:szCs w:val="18"/>
              </w:rPr>
              <w:t>C</w:t>
            </w:r>
            <w:r w:rsidRPr="00CC635B">
              <w:rPr>
                <w:rFonts w:cs="Helvetica"/>
                <w:szCs w:val="18"/>
              </w:rPr>
              <w:t>onstruction site dewatering waste must not be discharged to surface waters or tributaries thereto, including municipal separate storm sewer systems, unless the discharge meets the criteria for a low threat discharge, or meets the criteria for other exemptions presented in Attachment F.</w:t>
            </w:r>
          </w:p>
          <w:p w:rsidR="00CC635B" w:rsidRPr="00CC635B" w:rsidRDefault="00CC635B" w:rsidP="00F17B5E">
            <w:pPr>
              <w:autoSpaceDE w:val="0"/>
              <w:autoSpaceDN w:val="0"/>
              <w:adjustRightInd w:val="0"/>
              <w:ind w:left="72"/>
              <w:rPr>
                <w:rFonts w:cs="Helvetica"/>
                <w:szCs w:val="18"/>
              </w:rPr>
            </w:pPr>
            <w:r w:rsidRPr="00CC635B">
              <w:rPr>
                <w:rFonts w:cs="Helvetica"/>
                <w:szCs w:val="18"/>
              </w:rPr>
              <w:t>Prior to conducting dewatering or clear water diversion activities on a site covered by this General Permit</w:t>
            </w:r>
            <w:r>
              <w:rPr>
                <w:rFonts w:cs="Helvetica"/>
                <w:szCs w:val="18"/>
              </w:rPr>
              <w:t>.</w:t>
            </w:r>
            <w:r w:rsidRPr="00CC635B">
              <w:rPr>
                <w:rFonts w:cs="Helvetica"/>
                <w:szCs w:val="18"/>
              </w:rPr>
              <w:t xml:space="preserve">  Dischargers must prepare a dewatering/diversion plan as part of the SWPPP.  Lahontan Water Board staff will require Dischargers to provide the dewatering plan as part of the project PRDs or upon determining dewatering is necessary.</w:t>
            </w:r>
          </w:p>
        </w:tc>
      </w:tr>
    </w:tbl>
    <w:p w:rsidR="008E3D79" w:rsidRPr="005E2733" w:rsidRDefault="008E3D79" w:rsidP="008E3D79">
      <w:pPr>
        <w:spacing w:after="0"/>
        <w:ind w:left="93"/>
        <w:jc w:val="center"/>
        <w:rPr>
          <w:b/>
          <w:bCs/>
          <w:sz w:val="16"/>
          <w:szCs w:val="16"/>
        </w:rPr>
      </w:pPr>
    </w:p>
    <w:tbl>
      <w:tblPr>
        <w:tblStyle w:val="TableGrid"/>
        <w:tblW w:w="14598" w:type="dxa"/>
        <w:tblLook w:val="04A0" w:firstRow="1" w:lastRow="0" w:firstColumn="1" w:lastColumn="0" w:noHBand="0" w:noVBand="1"/>
      </w:tblPr>
      <w:tblGrid>
        <w:gridCol w:w="2358"/>
        <w:gridCol w:w="12240"/>
      </w:tblGrid>
      <w:tr w:rsidR="00D72D6D" w:rsidRPr="00B55F29" w:rsidTr="00BC3650">
        <w:trPr>
          <w:trHeight w:val="20"/>
        </w:trPr>
        <w:tc>
          <w:tcPr>
            <w:tcW w:w="2358" w:type="dxa"/>
            <w:noWrap/>
            <w:vAlign w:val="center"/>
          </w:tcPr>
          <w:p w:rsidR="00D72D6D" w:rsidRDefault="00D72D6D" w:rsidP="00D72D6D">
            <w:pPr>
              <w:jc w:val="center"/>
              <w:rPr>
                <w:b/>
              </w:rPr>
            </w:pPr>
          </w:p>
        </w:tc>
        <w:tc>
          <w:tcPr>
            <w:tcW w:w="12240" w:type="dxa"/>
            <w:vAlign w:val="center"/>
          </w:tcPr>
          <w:p w:rsidR="00D72D6D" w:rsidRPr="00B55F29" w:rsidRDefault="005166A9" w:rsidP="005166A9">
            <w:pPr>
              <w:ind w:left="93"/>
              <w:rPr>
                <w:b/>
                <w:bCs/>
                <w:szCs w:val="18"/>
              </w:rPr>
            </w:pPr>
            <w:r>
              <w:rPr>
                <w:b/>
                <w:bCs/>
                <w:szCs w:val="18"/>
              </w:rPr>
              <w:t>Implement</w:t>
            </w:r>
            <w:r w:rsidR="008E3D79">
              <w:rPr>
                <w:b/>
                <w:bCs/>
                <w:szCs w:val="18"/>
              </w:rPr>
              <w:t>ation</w:t>
            </w:r>
          </w:p>
        </w:tc>
      </w:tr>
      <w:tr w:rsidR="00D72D6D" w:rsidRPr="00B55F29" w:rsidTr="00BC3650">
        <w:trPr>
          <w:trHeight w:val="20"/>
        </w:trPr>
        <w:tc>
          <w:tcPr>
            <w:tcW w:w="2358" w:type="dxa"/>
            <w:shd w:val="clear" w:color="auto" w:fill="F2F2F2" w:themeFill="background1" w:themeFillShade="F2"/>
            <w:noWrap/>
            <w:vAlign w:val="center"/>
          </w:tcPr>
          <w:p w:rsidR="00D72D6D" w:rsidRDefault="005166A9" w:rsidP="00535D79">
            <w:pPr>
              <w:jc w:val="center"/>
              <w:rPr>
                <w:b/>
              </w:rPr>
            </w:pPr>
            <w:r>
              <w:rPr>
                <w:b/>
              </w:rPr>
              <w:t>N</w:t>
            </w:r>
            <w:r w:rsidR="008E3D79">
              <w:rPr>
                <w:b/>
              </w:rPr>
              <w:t>S</w:t>
            </w:r>
            <w:r w:rsidR="00535D79">
              <w:rPr>
                <w:b/>
              </w:rPr>
              <w:t>2</w:t>
            </w:r>
            <w:r w:rsidR="008E3D79">
              <w:rPr>
                <w:b/>
              </w:rPr>
              <w:t>.2</w:t>
            </w:r>
          </w:p>
        </w:tc>
        <w:tc>
          <w:tcPr>
            <w:tcW w:w="12240" w:type="dxa"/>
            <w:shd w:val="clear" w:color="auto" w:fill="F2F2F2" w:themeFill="background1" w:themeFillShade="F2"/>
            <w:vAlign w:val="center"/>
          </w:tcPr>
          <w:p w:rsidR="00D72D6D" w:rsidRPr="008E3D79" w:rsidRDefault="005166A9" w:rsidP="006C6863">
            <w:pPr>
              <w:ind w:left="93"/>
              <w:rPr>
                <w:bCs/>
                <w:szCs w:val="18"/>
              </w:rPr>
            </w:pPr>
            <w:r>
              <w:rPr>
                <w:bCs/>
                <w:szCs w:val="18"/>
              </w:rPr>
              <w:t xml:space="preserve">Are </w:t>
            </w:r>
            <w:r w:rsidR="00535D79">
              <w:rPr>
                <w:bCs/>
                <w:szCs w:val="18"/>
              </w:rPr>
              <w:t>Dewatering</w:t>
            </w:r>
            <w:r>
              <w:rPr>
                <w:bCs/>
                <w:szCs w:val="18"/>
              </w:rPr>
              <w:t xml:space="preserve"> practices implemented</w:t>
            </w:r>
            <w:r w:rsidR="008E3D79" w:rsidRPr="002E6017">
              <w:t xml:space="preserve"> </w:t>
            </w:r>
            <w:r w:rsidR="006C6863">
              <w:t>proper</w:t>
            </w:r>
            <w:r w:rsidR="008E3D79" w:rsidRPr="002E6017">
              <w:t>ly?</w:t>
            </w:r>
          </w:p>
        </w:tc>
      </w:tr>
      <w:tr w:rsidR="00535D79" w:rsidRPr="00B55F29" w:rsidTr="00BC3650">
        <w:trPr>
          <w:trHeight w:val="20"/>
        </w:trPr>
        <w:tc>
          <w:tcPr>
            <w:tcW w:w="2358" w:type="dxa"/>
            <w:noWrap/>
            <w:vAlign w:val="center"/>
          </w:tcPr>
          <w:p w:rsidR="00535D79" w:rsidRPr="00D96930" w:rsidRDefault="00535D79" w:rsidP="00535D79">
            <w:pPr>
              <w:jc w:val="center"/>
              <w:rPr>
                <w:b/>
              </w:rPr>
            </w:pPr>
            <w:r w:rsidRPr="00286775">
              <w:rPr>
                <w:b/>
              </w:rPr>
              <w:t>SPECs, 13-4.03G Dewatering</w:t>
            </w:r>
          </w:p>
        </w:tc>
        <w:tc>
          <w:tcPr>
            <w:tcW w:w="12240" w:type="dxa"/>
            <w:vAlign w:val="center"/>
          </w:tcPr>
          <w:p w:rsidR="00535D79" w:rsidRDefault="00535D79" w:rsidP="00535D79">
            <w:pPr>
              <w:ind w:left="72"/>
            </w:pPr>
            <w:r>
              <w:t>If dewatering and discharging activities are not specified under a work item and you perform dewatering activities:</w:t>
            </w:r>
          </w:p>
          <w:p w:rsidR="00535D79" w:rsidRDefault="00535D79" w:rsidP="00535D79">
            <w:pPr>
              <w:ind w:left="72"/>
            </w:pPr>
            <w:r>
              <w:t>1. Conduct dewatering activities under the Department's Field Guide for Construction Site Dewatering.</w:t>
            </w:r>
          </w:p>
          <w:p w:rsidR="00535D79" w:rsidRDefault="00535D79" w:rsidP="00535D79">
            <w:pPr>
              <w:ind w:left="72"/>
            </w:pPr>
            <w:r>
              <w:t>2. Ensure that any dewatering discharge does not cause erosion, scour, or sedimentary deposits that could impact natural bedding materials.</w:t>
            </w:r>
          </w:p>
          <w:p w:rsidR="00535D79" w:rsidRDefault="00535D79" w:rsidP="00535D79">
            <w:pPr>
              <w:ind w:left="72"/>
            </w:pPr>
            <w:r>
              <w:t>3. Discharge the water within the project limits. Dispose of the water if it cannot be discharged within project limits due to site constraints or contamination.</w:t>
            </w:r>
          </w:p>
          <w:p w:rsidR="00535D79" w:rsidRPr="00C0618F" w:rsidRDefault="00535D79" w:rsidP="00535D79">
            <w:pPr>
              <w:ind w:left="72"/>
            </w:pPr>
            <w:r>
              <w:t xml:space="preserve">4. Do not discharge </w:t>
            </w:r>
            <w:proofErr w:type="spellStart"/>
            <w:r>
              <w:t>stormwater</w:t>
            </w:r>
            <w:proofErr w:type="spellEnd"/>
            <w:r>
              <w:t xml:space="preserve"> or non-</w:t>
            </w:r>
            <w:proofErr w:type="spellStart"/>
            <w:r>
              <w:t>stormwater</w:t>
            </w:r>
            <w:proofErr w:type="spellEnd"/>
            <w:r>
              <w:t xml:space="preserve"> that has an odor, discoloration other than sediment, an oily sheen, or foam on the surface. Notify the Engineer immediately upon discovering any such condition.</w:t>
            </w:r>
          </w:p>
        </w:tc>
      </w:tr>
      <w:tr w:rsidR="00141DF7" w:rsidRPr="00B55F29" w:rsidTr="00BC3650">
        <w:trPr>
          <w:cantSplit/>
        </w:trPr>
        <w:tc>
          <w:tcPr>
            <w:tcW w:w="2358" w:type="dxa"/>
            <w:vAlign w:val="center"/>
          </w:tcPr>
          <w:p w:rsidR="00141DF7" w:rsidRPr="00D96930" w:rsidRDefault="00141DF7" w:rsidP="00141DF7">
            <w:pPr>
              <w:jc w:val="center"/>
              <w:rPr>
                <w:b/>
              </w:rPr>
            </w:pPr>
            <w:r>
              <w:rPr>
                <w:b/>
              </w:rPr>
              <w:t>CGP, Order</w:t>
            </w:r>
            <w:r w:rsidRPr="00A92DA9">
              <w:rPr>
                <w:b/>
              </w:rPr>
              <w:t xml:space="preserve"> IV.E</w:t>
            </w:r>
            <w:r w:rsidR="006425D8">
              <w:rPr>
                <w:b/>
              </w:rPr>
              <w:t xml:space="preserve"> Proper Operation and Maintenance</w:t>
            </w:r>
          </w:p>
        </w:tc>
        <w:tc>
          <w:tcPr>
            <w:tcW w:w="12240" w:type="dxa"/>
            <w:vAlign w:val="center"/>
          </w:tcPr>
          <w:p w:rsidR="00141DF7" w:rsidRDefault="00141DF7" w:rsidP="00134BB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CC635B">
      <w:pPr>
        <w:jc w:val="center"/>
        <w:rPr>
          <w:szCs w:val="18"/>
        </w:rPr>
      </w:pPr>
    </w:p>
    <w:sectPr w:rsidR="000A4B84"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0F5" w:rsidRDefault="009770F5" w:rsidP="00EE1060">
      <w:pPr>
        <w:spacing w:after="0" w:line="240" w:lineRule="auto"/>
      </w:pPr>
      <w:r>
        <w:separator/>
      </w:r>
    </w:p>
  </w:endnote>
  <w:endnote w:type="continuationSeparator" w:id="0">
    <w:p w:rsidR="009770F5" w:rsidRDefault="009770F5"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BC365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3650">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0F5" w:rsidRDefault="009770F5" w:rsidP="00EE1060">
      <w:pPr>
        <w:spacing w:after="0" w:line="240" w:lineRule="auto"/>
      </w:pPr>
      <w:r>
        <w:separator/>
      </w:r>
    </w:p>
  </w:footnote>
  <w:footnote w:type="continuationSeparator" w:id="0">
    <w:p w:rsidR="009770F5" w:rsidRDefault="009770F5"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r>
    <w:r w:rsidR="005166A9">
      <w:rPr>
        <w:b/>
        <w:sz w:val="20"/>
        <w:szCs w:val="20"/>
      </w:rPr>
      <w:t>NON-STORMWATER CONTRO</w:t>
    </w:r>
    <w:r w:rsidR="0060541A">
      <w:rPr>
        <w:b/>
        <w:sz w:val="20"/>
        <w:szCs w:val="20"/>
      </w:rPr>
      <w:t>L</w:t>
    </w:r>
  </w:p>
  <w:p w:rsidR="00D72D6D" w:rsidRPr="002B6776" w:rsidRDefault="00535D79" w:rsidP="00D72D6D">
    <w:pPr>
      <w:pStyle w:val="Header"/>
      <w:tabs>
        <w:tab w:val="clear" w:pos="4680"/>
        <w:tab w:val="clear" w:pos="9360"/>
      </w:tabs>
      <w:spacing w:after="120"/>
      <w:jc w:val="center"/>
      <w:rPr>
        <w:b/>
        <w:sz w:val="20"/>
        <w:szCs w:val="20"/>
      </w:rPr>
    </w:pPr>
    <w:r>
      <w:rPr>
        <w:b/>
        <w:sz w:val="20"/>
        <w:szCs w:val="20"/>
      </w:rPr>
      <w:t>DEWATERING</w:t>
    </w:r>
    <w:r w:rsidR="00D72D6D" w:rsidRPr="002B6776">
      <w:rPr>
        <w:b/>
        <w:sz w:val="20"/>
        <w:szCs w:val="20"/>
      </w:rPr>
      <w:t xml:space="preserve">, </w:t>
    </w:r>
    <w:r w:rsidR="005166A9">
      <w:rPr>
        <w:b/>
        <w:sz w:val="20"/>
        <w:szCs w:val="20"/>
      </w:rPr>
      <w:t>N</w:t>
    </w:r>
    <w:r w:rsidR="00D72D6D" w:rsidRPr="002B6776">
      <w:rPr>
        <w:b/>
        <w:sz w:val="20"/>
        <w:szCs w:val="20"/>
      </w:rPr>
      <w:t>S-</w:t>
    </w:r>
    <w:r>
      <w:rPr>
        <w:b/>
        <w:sz w:val="20"/>
        <w:szCs w:val="20"/>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605BF"/>
    <w:rsid w:val="00074B5B"/>
    <w:rsid w:val="000A24FE"/>
    <w:rsid w:val="000A4B84"/>
    <w:rsid w:val="000F1733"/>
    <w:rsid w:val="00133E1D"/>
    <w:rsid w:val="00134BB9"/>
    <w:rsid w:val="001361EB"/>
    <w:rsid w:val="00141DF7"/>
    <w:rsid w:val="00150333"/>
    <w:rsid w:val="00153370"/>
    <w:rsid w:val="00154C99"/>
    <w:rsid w:val="00172AE0"/>
    <w:rsid w:val="00183AD7"/>
    <w:rsid w:val="001A058F"/>
    <w:rsid w:val="001A42E7"/>
    <w:rsid w:val="001B31E8"/>
    <w:rsid w:val="001C0341"/>
    <w:rsid w:val="001D297C"/>
    <w:rsid w:val="001D42E1"/>
    <w:rsid w:val="00213974"/>
    <w:rsid w:val="00224586"/>
    <w:rsid w:val="00230028"/>
    <w:rsid w:val="002A7822"/>
    <w:rsid w:val="002B6776"/>
    <w:rsid w:val="002C792B"/>
    <w:rsid w:val="002D2240"/>
    <w:rsid w:val="002E6017"/>
    <w:rsid w:val="00313884"/>
    <w:rsid w:val="00343251"/>
    <w:rsid w:val="00357042"/>
    <w:rsid w:val="003839F4"/>
    <w:rsid w:val="00384E42"/>
    <w:rsid w:val="004240A0"/>
    <w:rsid w:val="0042675B"/>
    <w:rsid w:val="004550DA"/>
    <w:rsid w:val="004560D6"/>
    <w:rsid w:val="00466673"/>
    <w:rsid w:val="00477A96"/>
    <w:rsid w:val="00485123"/>
    <w:rsid w:val="00490556"/>
    <w:rsid w:val="004A565C"/>
    <w:rsid w:val="004C0BD6"/>
    <w:rsid w:val="004D3C7D"/>
    <w:rsid w:val="004F519E"/>
    <w:rsid w:val="00506608"/>
    <w:rsid w:val="005166A9"/>
    <w:rsid w:val="00535D79"/>
    <w:rsid w:val="005369ED"/>
    <w:rsid w:val="00545A12"/>
    <w:rsid w:val="005A3EC9"/>
    <w:rsid w:val="005C2D55"/>
    <w:rsid w:val="005C5BE7"/>
    <w:rsid w:val="005C7AA8"/>
    <w:rsid w:val="005E2733"/>
    <w:rsid w:val="005E6BE1"/>
    <w:rsid w:val="005E74FB"/>
    <w:rsid w:val="005F62E6"/>
    <w:rsid w:val="0060541A"/>
    <w:rsid w:val="0062159A"/>
    <w:rsid w:val="00640ED9"/>
    <w:rsid w:val="006425D8"/>
    <w:rsid w:val="00651934"/>
    <w:rsid w:val="00657643"/>
    <w:rsid w:val="00670A97"/>
    <w:rsid w:val="00683A27"/>
    <w:rsid w:val="00692897"/>
    <w:rsid w:val="006A41C8"/>
    <w:rsid w:val="006A6281"/>
    <w:rsid w:val="006C6863"/>
    <w:rsid w:val="006E0DD5"/>
    <w:rsid w:val="006F371D"/>
    <w:rsid w:val="007032EF"/>
    <w:rsid w:val="00722CE9"/>
    <w:rsid w:val="00736865"/>
    <w:rsid w:val="00740EDB"/>
    <w:rsid w:val="007426CD"/>
    <w:rsid w:val="00744F46"/>
    <w:rsid w:val="00756626"/>
    <w:rsid w:val="00760C62"/>
    <w:rsid w:val="00776229"/>
    <w:rsid w:val="00785A40"/>
    <w:rsid w:val="0079164F"/>
    <w:rsid w:val="007D0045"/>
    <w:rsid w:val="007E31F6"/>
    <w:rsid w:val="007E5424"/>
    <w:rsid w:val="00844C64"/>
    <w:rsid w:val="008622D0"/>
    <w:rsid w:val="008929BB"/>
    <w:rsid w:val="008948F2"/>
    <w:rsid w:val="008A1EE1"/>
    <w:rsid w:val="008B4348"/>
    <w:rsid w:val="008D219B"/>
    <w:rsid w:val="008D2E22"/>
    <w:rsid w:val="008E3D79"/>
    <w:rsid w:val="009471AB"/>
    <w:rsid w:val="00956EA0"/>
    <w:rsid w:val="00961AA7"/>
    <w:rsid w:val="009770F5"/>
    <w:rsid w:val="009775F0"/>
    <w:rsid w:val="0099031A"/>
    <w:rsid w:val="009E05D5"/>
    <w:rsid w:val="009F0DF5"/>
    <w:rsid w:val="009F7825"/>
    <w:rsid w:val="00A06DB8"/>
    <w:rsid w:val="00A4058A"/>
    <w:rsid w:val="00A92DA9"/>
    <w:rsid w:val="00AB375E"/>
    <w:rsid w:val="00AB454F"/>
    <w:rsid w:val="00AE780F"/>
    <w:rsid w:val="00B13C40"/>
    <w:rsid w:val="00B211D0"/>
    <w:rsid w:val="00B33653"/>
    <w:rsid w:val="00B457FA"/>
    <w:rsid w:val="00B55F29"/>
    <w:rsid w:val="00B61E23"/>
    <w:rsid w:val="00BB4F30"/>
    <w:rsid w:val="00BC3650"/>
    <w:rsid w:val="00BC6A7E"/>
    <w:rsid w:val="00BD3CDA"/>
    <w:rsid w:val="00C03DAA"/>
    <w:rsid w:val="00C04028"/>
    <w:rsid w:val="00C36452"/>
    <w:rsid w:val="00C4222C"/>
    <w:rsid w:val="00C73030"/>
    <w:rsid w:val="00C85F7D"/>
    <w:rsid w:val="00C94FFF"/>
    <w:rsid w:val="00CA1DCD"/>
    <w:rsid w:val="00CB1C63"/>
    <w:rsid w:val="00CC635B"/>
    <w:rsid w:val="00CD69FF"/>
    <w:rsid w:val="00CE198B"/>
    <w:rsid w:val="00CE4043"/>
    <w:rsid w:val="00D07272"/>
    <w:rsid w:val="00D3117A"/>
    <w:rsid w:val="00D40DF1"/>
    <w:rsid w:val="00D72A25"/>
    <w:rsid w:val="00D72D6D"/>
    <w:rsid w:val="00D7421F"/>
    <w:rsid w:val="00D87FB7"/>
    <w:rsid w:val="00D96930"/>
    <w:rsid w:val="00DA1AB1"/>
    <w:rsid w:val="00DA620E"/>
    <w:rsid w:val="00DE20ED"/>
    <w:rsid w:val="00DE2510"/>
    <w:rsid w:val="00DF12F6"/>
    <w:rsid w:val="00E0650C"/>
    <w:rsid w:val="00E07FA1"/>
    <w:rsid w:val="00E129FE"/>
    <w:rsid w:val="00E60ABF"/>
    <w:rsid w:val="00E8050A"/>
    <w:rsid w:val="00E9452A"/>
    <w:rsid w:val="00EB731D"/>
    <w:rsid w:val="00EE1060"/>
    <w:rsid w:val="00EE3866"/>
    <w:rsid w:val="00F31D85"/>
    <w:rsid w:val="00F83D72"/>
    <w:rsid w:val="00F85ACA"/>
    <w:rsid w:val="00F94E66"/>
    <w:rsid w:val="00FA65DB"/>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348D2-2B36-4F9C-AA37-63016C57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9</cp:revision>
  <cp:lastPrinted>2014-03-11T16:55:00Z</cp:lastPrinted>
  <dcterms:created xsi:type="dcterms:W3CDTF">2017-03-16T21:33:00Z</dcterms:created>
  <dcterms:modified xsi:type="dcterms:W3CDTF">2017-04-04T23:02:00Z</dcterms:modified>
</cp:coreProperties>
</file>