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246743">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612583">
            <w:pPr>
              <w:ind w:left="72"/>
              <w:rPr>
                <w:szCs w:val="18"/>
              </w:rPr>
            </w:pPr>
            <w:r w:rsidRPr="00B55F29">
              <w:rPr>
                <w:b/>
                <w:bCs/>
                <w:szCs w:val="18"/>
              </w:rPr>
              <w:t>Application</w:t>
            </w:r>
          </w:p>
        </w:tc>
      </w:tr>
      <w:tr w:rsidR="00423068" w:rsidRPr="00B55F29" w:rsidTr="00246743">
        <w:trPr>
          <w:trHeight w:val="288"/>
        </w:trPr>
        <w:tc>
          <w:tcPr>
            <w:tcW w:w="2718" w:type="dxa"/>
            <w:shd w:val="clear" w:color="auto" w:fill="F2F2F2" w:themeFill="background1" w:themeFillShade="F2"/>
            <w:noWrap/>
            <w:vAlign w:val="center"/>
          </w:tcPr>
          <w:p w:rsidR="00423068" w:rsidRPr="00423068" w:rsidRDefault="00423068" w:rsidP="00D3186C">
            <w:pPr>
              <w:jc w:val="center"/>
              <w:rPr>
                <w:b/>
              </w:rPr>
            </w:pPr>
            <w:r w:rsidRPr="00423068">
              <w:rPr>
                <w:b/>
              </w:rPr>
              <w:t>SC</w:t>
            </w:r>
            <w:r w:rsidR="00D3186C">
              <w:rPr>
                <w:b/>
              </w:rPr>
              <w:t>4</w:t>
            </w:r>
            <w:r w:rsidRPr="00423068">
              <w:rPr>
                <w:b/>
              </w:rPr>
              <w:t>.1</w:t>
            </w:r>
          </w:p>
        </w:tc>
        <w:tc>
          <w:tcPr>
            <w:tcW w:w="11970" w:type="dxa"/>
            <w:shd w:val="clear" w:color="auto" w:fill="F2F2F2" w:themeFill="background1" w:themeFillShade="F2"/>
            <w:vAlign w:val="center"/>
          </w:tcPr>
          <w:p w:rsidR="00423068" w:rsidRPr="00423068" w:rsidRDefault="00836D75" w:rsidP="008F348A">
            <w:pPr>
              <w:ind w:left="72"/>
              <w:rPr>
                <w:b/>
              </w:rPr>
            </w:pPr>
            <w:r>
              <w:rPr>
                <w:b/>
              </w:rPr>
              <w:t>Is the</w:t>
            </w:r>
            <w:r w:rsidR="009C270A">
              <w:rPr>
                <w:b/>
              </w:rPr>
              <w:t xml:space="preserve"> Temporary </w:t>
            </w:r>
            <w:r w:rsidR="00D3186C">
              <w:rPr>
                <w:b/>
              </w:rPr>
              <w:t xml:space="preserve">Check Dam </w:t>
            </w:r>
            <w:r w:rsidR="009C270A">
              <w:rPr>
                <w:b/>
              </w:rPr>
              <w:t>appli</w:t>
            </w:r>
            <w:r w:rsidR="008F348A">
              <w:rPr>
                <w:b/>
              </w:rPr>
              <w:t>ed as required</w:t>
            </w:r>
            <w:r w:rsidR="00423068">
              <w:rPr>
                <w:b/>
              </w:rPr>
              <w:t xml:space="preserve"> </w:t>
            </w:r>
            <w:r w:rsidR="008F348A">
              <w:rPr>
                <w:b/>
              </w:rPr>
              <w:t>(</w:t>
            </w:r>
            <w:r w:rsidR="00D3186C">
              <w:rPr>
                <w:b/>
              </w:rPr>
              <w:t xml:space="preserve">control of </w:t>
            </w:r>
            <w:r w:rsidR="00234D22">
              <w:rPr>
                <w:b/>
              </w:rPr>
              <w:t xml:space="preserve">storm </w:t>
            </w:r>
            <w:r w:rsidR="00D3186C">
              <w:rPr>
                <w:b/>
              </w:rPr>
              <w:t>water through the site</w:t>
            </w:r>
            <w:r w:rsidR="008F348A">
              <w:rPr>
                <w:b/>
              </w:rPr>
              <w:t>)</w:t>
            </w:r>
            <w:r w:rsidR="00423068" w:rsidRPr="00423068">
              <w:rPr>
                <w:b/>
              </w:rPr>
              <w:t>?</w:t>
            </w:r>
          </w:p>
        </w:tc>
      </w:tr>
      <w:tr w:rsidR="00D3186C" w:rsidRPr="00B55F29" w:rsidTr="00246743">
        <w:trPr>
          <w:trHeight w:val="288"/>
        </w:trPr>
        <w:tc>
          <w:tcPr>
            <w:tcW w:w="2718" w:type="dxa"/>
            <w:noWrap/>
            <w:vAlign w:val="center"/>
          </w:tcPr>
          <w:p w:rsidR="00D3186C" w:rsidRPr="009D516B" w:rsidRDefault="00D3186C" w:rsidP="00612583">
            <w:pPr>
              <w:jc w:val="center"/>
              <w:rPr>
                <w:b/>
              </w:rPr>
            </w:pPr>
            <w:r>
              <w:rPr>
                <w:b/>
              </w:rPr>
              <w:t xml:space="preserve">CGP, </w:t>
            </w:r>
            <w:r w:rsidRPr="009D516B">
              <w:rPr>
                <w:b/>
              </w:rPr>
              <w:t xml:space="preserve">Attachment </w:t>
            </w:r>
            <w:r>
              <w:rPr>
                <w:b/>
              </w:rPr>
              <w:t>C.F, D.F, E.F</w:t>
            </w:r>
          </w:p>
        </w:tc>
        <w:tc>
          <w:tcPr>
            <w:tcW w:w="11970" w:type="dxa"/>
            <w:vAlign w:val="center"/>
          </w:tcPr>
          <w:p w:rsidR="00D3186C" w:rsidRDefault="00D3186C" w:rsidP="00234D22">
            <w:pPr>
              <w:ind w:left="72"/>
            </w:pPr>
            <w:r>
              <w:t xml:space="preserve">Risk Level 1, 2, 1nd 3 dischargers shall effectively manage all run-on, all runoff within the site and all runoff that discharges off the site. Run-on from </w:t>
            </w:r>
            <w:proofErr w:type="spellStart"/>
            <w:r>
              <w:t>off site</w:t>
            </w:r>
            <w:proofErr w:type="spellEnd"/>
            <w:r>
              <w:t xml:space="preserve"> shall be directed away from all disturbed areas or shall collectively be in compliance with the effluent limitations in this General Permit</w:t>
            </w:r>
            <w:r w:rsidRPr="00C759C9">
              <w:t>.</w:t>
            </w:r>
          </w:p>
        </w:tc>
      </w:tr>
      <w:tr w:rsidR="00A61063" w:rsidRPr="00B55F29" w:rsidTr="00246743">
        <w:trPr>
          <w:trHeight w:val="288"/>
        </w:trPr>
        <w:tc>
          <w:tcPr>
            <w:tcW w:w="2718" w:type="dxa"/>
            <w:noWrap/>
            <w:vAlign w:val="center"/>
          </w:tcPr>
          <w:p w:rsidR="00A61063" w:rsidRPr="002125F1" w:rsidRDefault="00763A19" w:rsidP="004C2B63">
            <w:pPr>
              <w:jc w:val="center"/>
              <w:rPr>
                <w:b/>
                <w:szCs w:val="18"/>
              </w:rPr>
            </w:pPr>
            <w:r>
              <w:rPr>
                <w:b/>
                <w:szCs w:val="18"/>
              </w:rPr>
              <w:t>LTP, VIII.</w:t>
            </w:r>
            <w:r w:rsidR="00A61063" w:rsidRPr="002125F1">
              <w:rPr>
                <w:b/>
                <w:szCs w:val="18"/>
              </w:rPr>
              <w:t>B</w:t>
            </w:r>
          </w:p>
        </w:tc>
        <w:tc>
          <w:tcPr>
            <w:tcW w:w="11970" w:type="dxa"/>
            <w:vAlign w:val="center"/>
          </w:tcPr>
          <w:p w:rsidR="00A61063" w:rsidRPr="002125F1" w:rsidRDefault="00A61063" w:rsidP="00A61063">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A61063" w:rsidRDefault="00A61063" w:rsidP="00A61063">
            <w:pPr>
              <w:autoSpaceDE w:val="0"/>
              <w:autoSpaceDN w:val="0"/>
              <w:adjustRightInd w:val="0"/>
              <w:ind w:left="72"/>
              <w:rPr>
                <w:rFonts w:cs="Helvetica"/>
                <w:szCs w:val="18"/>
              </w:rPr>
            </w:pPr>
            <w:r w:rsidRPr="002125F1">
              <w:rPr>
                <w:rFonts w:cs="Helvetica-Bold"/>
                <w:b/>
                <w:bCs/>
                <w:szCs w:val="18"/>
              </w:rPr>
              <w:t xml:space="preserve">2. </w:t>
            </w:r>
            <w:r w:rsidRPr="002125F1">
              <w:rPr>
                <w:rFonts w:cs="Helvetica"/>
                <w:szCs w:val="18"/>
              </w:rPr>
              <w:t>Install temporary gravel bag dikes, fiber rolls, filter fabric fence, or other equivalent measures as necessary to control erosion and runoff.</w:t>
            </w:r>
          </w:p>
          <w:p w:rsidR="009B493E" w:rsidRDefault="009B493E" w:rsidP="00A61063">
            <w:pPr>
              <w:autoSpaceDE w:val="0"/>
              <w:autoSpaceDN w:val="0"/>
              <w:adjustRightInd w:val="0"/>
              <w:ind w:left="72"/>
              <w:rPr>
                <w:rFonts w:cs="Helvetica"/>
                <w:szCs w:val="18"/>
              </w:rPr>
            </w:pPr>
            <w:r>
              <w:rPr>
                <w:rFonts w:cs="Helvetica-Bold"/>
                <w:b/>
                <w:bCs/>
                <w:szCs w:val="18"/>
              </w:rPr>
              <w:t>3.</w:t>
            </w:r>
            <w:r w:rsidRPr="009B493E">
              <w:rPr>
                <w:rFonts w:cs="Helvetica"/>
                <w:szCs w:val="18"/>
              </w:rPr>
              <w:t xml:space="preserve"> Install temporary check dams such as gravel bag dikes in concentrated flow lines to slow and detain water flows and retain sediment.</w:t>
            </w:r>
          </w:p>
          <w:p w:rsidR="00BE34B6" w:rsidRPr="002125F1" w:rsidRDefault="00BE34B6" w:rsidP="00A61063">
            <w:pPr>
              <w:autoSpaceDE w:val="0"/>
              <w:autoSpaceDN w:val="0"/>
              <w:adjustRightInd w:val="0"/>
              <w:ind w:left="72"/>
              <w:rPr>
                <w:rFonts w:cs="Helvetica"/>
                <w:szCs w:val="18"/>
              </w:rPr>
            </w:pPr>
            <w:r w:rsidRPr="00BE34B6">
              <w:rPr>
                <w:b/>
              </w:rPr>
              <w:t>8.</w:t>
            </w:r>
            <w:r>
              <w:t xml:space="preserve"> Control storm water volume and velocity within the site to minimize soil erosion and offsite discharges.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246743">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246743">
        <w:trPr>
          <w:trHeight w:val="288"/>
        </w:trPr>
        <w:tc>
          <w:tcPr>
            <w:tcW w:w="2718" w:type="dxa"/>
            <w:shd w:val="clear" w:color="auto" w:fill="F2F2F2" w:themeFill="background1" w:themeFillShade="F2"/>
            <w:noWrap/>
            <w:vAlign w:val="center"/>
          </w:tcPr>
          <w:p w:rsidR="00435CE3" w:rsidRPr="00435CE3" w:rsidRDefault="00675C33" w:rsidP="003362E6">
            <w:pPr>
              <w:jc w:val="center"/>
              <w:rPr>
                <w:b/>
              </w:rPr>
            </w:pPr>
            <w:r>
              <w:rPr>
                <w:b/>
              </w:rPr>
              <w:t>SC</w:t>
            </w:r>
            <w:r w:rsidR="00234D22">
              <w:rPr>
                <w:b/>
              </w:rPr>
              <w:t>4</w:t>
            </w:r>
            <w:r>
              <w:rPr>
                <w:b/>
              </w:rPr>
              <w:t>.2</w:t>
            </w:r>
          </w:p>
        </w:tc>
        <w:tc>
          <w:tcPr>
            <w:tcW w:w="11970" w:type="dxa"/>
            <w:shd w:val="clear" w:color="auto" w:fill="F2F2F2" w:themeFill="background1" w:themeFillShade="F2"/>
            <w:vAlign w:val="center"/>
          </w:tcPr>
          <w:p w:rsidR="00435CE3" w:rsidRPr="0062540E" w:rsidRDefault="00675C33" w:rsidP="005F73E4">
            <w:pPr>
              <w:ind w:left="72"/>
              <w:rPr>
                <w:b/>
                <w:bCs/>
                <w:szCs w:val="18"/>
              </w:rPr>
            </w:pPr>
            <w:r>
              <w:rPr>
                <w:b/>
              </w:rPr>
              <w:t xml:space="preserve">Is the </w:t>
            </w:r>
            <w:r w:rsidR="00234D22">
              <w:rPr>
                <w:b/>
              </w:rPr>
              <w:t xml:space="preserve">Type 1 (Fiber Roll) or Type 2 (Gravel Bag) Check Dam </w:t>
            </w:r>
            <w:r>
              <w:rPr>
                <w:b/>
              </w:rPr>
              <w:t xml:space="preserve">Temporary </w:t>
            </w:r>
            <w:r w:rsidR="00234D22">
              <w:rPr>
                <w:b/>
              </w:rPr>
              <w:t>Check Dam</w:t>
            </w:r>
            <w:r>
              <w:rPr>
                <w:b/>
              </w:rPr>
              <w:t xml:space="preserve"> </w:t>
            </w:r>
            <w:r w:rsidR="0062540E" w:rsidRPr="0062540E">
              <w:rPr>
                <w:b/>
              </w:rPr>
              <w:t xml:space="preserve">installed </w:t>
            </w:r>
            <w:r w:rsidR="005F73E4">
              <w:rPr>
                <w:b/>
              </w:rPr>
              <w:t>proper</w:t>
            </w:r>
            <w:r w:rsidR="0062540E" w:rsidRPr="0062540E">
              <w:rPr>
                <w:b/>
              </w:rPr>
              <w:t>ly?</w:t>
            </w:r>
          </w:p>
        </w:tc>
      </w:tr>
      <w:tr w:rsidR="00234D22" w:rsidRPr="00B55F29" w:rsidTr="00246743">
        <w:trPr>
          <w:trHeight w:val="288"/>
        </w:trPr>
        <w:tc>
          <w:tcPr>
            <w:tcW w:w="2718" w:type="dxa"/>
            <w:noWrap/>
            <w:vAlign w:val="center"/>
          </w:tcPr>
          <w:p w:rsidR="00234D22" w:rsidRPr="009D516B" w:rsidRDefault="00234D22" w:rsidP="0031156C">
            <w:pPr>
              <w:jc w:val="center"/>
              <w:rPr>
                <w:b/>
              </w:rPr>
            </w:pPr>
            <w:r>
              <w:rPr>
                <w:b/>
              </w:rPr>
              <w:t xml:space="preserve">SPECs, </w:t>
            </w:r>
            <w:r w:rsidRPr="009D516B">
              <w:rPr>
                <w:b/>
              </w:rPr>
              <w:t>13-6.03B  Temporary Check Dams</w:t>
            </w:r>
          </w:p>
        </w:tc>
        <w:tc>
          <w:tcPr>
            <w:tcW w:w="11970" w:type="dxa"/>
            <w:vAlign w:val="center"/>
          </w:tcPr>
          <w:p w:rsidR="00234D22" w:rsidRDefault="00234D22" w:rsidP="00234D22">
            <w:pPr>
              <w:ind w:left="72"/>
            </w:pPr>
            <w:r>
              <w:t>Before placing a temporary check dam, remove obstructions, including rocks, clods, and debris greater than 1 inch in diameter from the ground.</w:t>
            </w:r>
          </w:p>
          <w:p w:rsidR="00234D22" w:rsidRDefault="00234D22" w:rsidP="00234D22">
            <w:pPr>
              <w:ind w:left="72"/>
            </w:pPr>
            <w:r>
              <w:t>If a temporary check dam is to be placed in the same area as an erosion control blanket, install the blanket before placing the dam.</w:t>
            </w:r>
          </w:p>
          <w:p w:rsidR="00234D22" w:rsidRDefault="00234D22" w:rsidP="00234D22">
            <w:pPr>
              <w:ind w:left="72"/>
            </w:pPr>
            <w:r>
              <w:t>A temporary check dam must be:</w:t>
            </w:r>
          </w:p>
          <w:p w:rsidR="00234D22" w:rsidRDefault="00234D22" w:rsidP="00234D22">
            <w:pPr>
              <w:ind w:left="72"/>
            </w:pPr>
            <w:r>
              <w:t>1. Placed approximately perpendicular to the centerline of the ditch or drainage line</w:t>
            </w:r>
          </w:p>
          <w:p w:rsidR="00234D22" w:rsidRDefault="00234D22" w:rsidP="00234D22">
            <w:pPr>
              <w:ind w:left="72"/>
            </w:pPr>
            <w:r>
              <w:t>2. Installed with sufficient spillway depth to prevent flanking of concentrated flow around the ends of the check dam</w:t>
            </w:r>
          </w:p>
          <w:p w:rsidR="00234D22" w:rsidRDefault="00234D22" w:rsidP="00234D22">
            <w:pPr>
              <w:ind w:left="72"/>
            </w:pPr>
            <w:r>
              <w:t>3. Type 2 if the ditch is lined with concrete or HMA</w:t>
            </w:r>
          </w:p>
          <w:p w:rsidR="00234D22" w:rsidRDefault="00234D22" w:rsidP="00234D22">
            <w:pPr>
              <w:ind w:left="72"/>
            </w:pPr>
            <w:r>
              <w:t>4. Type 1 or Type 2 if the ditch is unlined</w:t>
            </w:r>
          </w:p>
          <w:p w:rsidR="00234D22" w:rsidRDefault="00234D22" w:rsidP="00234D22">
            <w:pPr>
              <w:ind w:left="72"/>
            </w:pPr>
            <w:r>
              <w:t>For a Type 1 temporary check dam:</w:t>
            </w:r>
          </w:p>
          <w:p w:rsidR="00234D22" w:rsidRDefault="00234D22" w:rsidP="00234D22">
            <w:pPr>
              <w:ind w:left="72"/>
            </w:pPr>
            <w:r>
              <w:t>1. Secure the fiber rolls with rope and notched wood stakes as shown.</w:t>
            </w:r>
          </w:p>
          <w:p w:rsidR="00234D22" w:rsidRDefault="00234D22" w:rsidP="00234D22">
            <w:pPr>
              <w:ind w:left="72"/>
            </w:pPr>
            <w:r>
              <w:t>2. Drive the stakes into the soil until the notch is even with the top of the fiber roll.</w:t>
            </w:r>
          </w:p>
          <w:p w:rsidR="00234D22" w:rsidRDefault="00234D22" w:rsidP="00234D22">
            <w:pPr>
              <w:ind w:left="72"/>
            </w:pPr>
            <w:r>
              <w:t>3. Lace rope between the stakes and over the fiber roll. Knot the rope at each stake.</w:t>
            </w:r>
          </w:p>
          <w:p w:rsidR="00234D22" w:rsidRDefault="00234D22" w:rsidP="00234D22">
            <w:pPr>
              <w:ind w:left="72"/>
            </w:pPr>
            <w:r>
              <w:t>4. Tighten by driving the stakes further into the soil and forcing the fiber roll against the surface of the ditch or drainage line.</w:t>
            </w:r>
          </w:p>
          <w:p w:rsidR="00234D22" w:rsidRPr="005006E7" w:rsidRDefault="00234D22" w:rsidP="00234D22">
            <w:pPr>
              <w:ind w:left="72"/>
            </w:pPr>
            <w:r>
              <w:t>Place a Type 2 temporary check dam as a single layer of gravel-filled bags, placed end-to-end to eliminate gaps. If you need to increase the height of the dam, add more layers of gravel-filled bags. Stack the bags in the upper row to overlap the joints in the lower row. Stabilize the rows by adding more rows of bags in the lower layers.</w:t>
            </w:r>
          </w:p>
        </w:tc>
      </w:tr>
      <w:tr w:rsidR="00BA0779" w:rsidRPr="00B55F29" w:rsidTr="00246743">
        <w:trPr>
          <w:trHeight w:val="288"/>
        </w:trPr>
        <w:tc>
          <w:tcPr>
            <w:tcW w:w="2718" w:type="dxa"/>
            <w:noWrap/>
            <w:vAlign w:val="center"/>
          </w:tcPr>
          <w:p w:rsidR="00BA0779" w:rsidRPr="00435CE3" w:rsidRDefault="001109EC" w:rsidP="00675C33">
            <w:pPr>
              <w:jc w:val="center"/>
              <w:rPr>
                <w:b/>
              </w:rPr>
            </w:pPr>
            <w:r>
              <w:rPr>
                <w:b/>
              </w:rPr>
              <w:t>See Standard Plan Sheet T5</w:t>
            </w:r>
            <w:r w:rsidR="00D843CA">
              <w:rPr>
                <w:b/>
              </w:rPr>
              <w:t>7</w:t>
            </w:r>
          </w:p>
        </w:tc>
        <w:tc>
          <w:tcPr>
            <w:tcW w:w="11970" w:type="dxa"/>
            <w:vAlign w:val="center"/>
          </w:tcPr>
          <w:p w:rsidR="00BA0779" w:rsidRPr="001109EC" w:rsidRDefault="001109EC" w:rsidP="00D843CA">
            <w:pPr>
              <w:ind w:left="72"/>
            </w:pPr>
            <w:r>
              <w:t xml:space="preserve">Temporary </w:t>
            </w:r>
            <w:r w:rsidR="00D843CA">
              <w:t>Check Dam</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246743">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246743">
        <w:trPr>
          <w:trHeight w:val="288"/>
        </w:trPr>
        <w:tc>
          <w:tcPr>
            <w:tcW w:w="2718" w:type="dxa"/>
            <w:shd w:val="clear" w:color="auto" w:fill="F2F2F2" w:themeFill="background1" w:themeFillShade="F2"/>
            <w:noWrap/>
            <w:vAlign w:val="center"/>
          </w:tcPr>
          <w:p w:rsidR="00BA0779" w:rsidRPr="00BA0779" w:rsidRDefault="000122FE" w:rsidP="00D843CA">
            <w:pPr>
              <w:jc w:val="center"/>
              <w:rPr>
                <w:b/>
              </w:rPr>
            </w:pPr>
            <w:r>
              <w:rPr>
                <w:b/>
              </w:rPr>
              <w:t>SC</w:t>
            </w:r>
            <w:r w:rsidR="003362E6">
              <w:rPr>
                <w:b/>
              </w:rPr>
              <w:t>4.3</w:t>
            </w:r>
          </w:p>
        </w:tc>
        <w:tc>
          <w:tcPr>
            <w:tcW w:w="11970" w:type="dxa"/>
            <w:shd w:val="clear" w:color="auto" w:fill="F2F2F2" w:themeFill="background1" w:themeFillShade="F2"/>
            <w:vAlign w:val="center"/>
          </w:tcPr>
          <w:p w:rsidR="00BA0779" w:rsidRPr="00BA0779" w:rsidRDefault="005F73E4" w:rsidP="005F73E4">
            <w:pPr>
              <w:ind w:left="72"/>
              <w:rPr>
                <w:b/>
              </w:rPr>
            </w:pPr>
            <w:r>
              <w:rPr>
                <w:b/>
              </w:rPr>
              <w:t>Doe</w:t>
            </w:r>
            <w:r w:rsidR="00836D75">
              <w:rPr>
                <w:b/>
              </w:rPr>
              <w:t>s</w:t>
            </w:r>
            <w:r w:rsidR="00D843CA">
              <w:rPr>
                <w:b/>
              </w:rPr>
              <w:t xml:space="preserve"> the</w:t>
            </w:r>
            <w:r w:rsidR="00BA0CD3">
              <w:rPr>
                <w:b/>
              </w:rPr>
              <w:t xml:space="preserve"> Temporary </w:t>
            </w:r>
            <w:r>
              <w:rPr>
                <w:b/>
              </w:rPr>
              <w:t>Check Dam consist</w:t>
            </w:r>
            <w:r w:rsidR="00D843CA">
              <w:rPr>
                <w:b/>
              </w:rPr>
              <w:t xml:space="preserve"> of</w:t>
            </w:r>
            <w:r w:rsidR="00BA0CD3">
              <w:rPr>
                <w:b/>
              </w:rPr>
              <w:t xml:space="preserve"> the </w:t>
            </w:r>
            <w:r>
              <w:rPr>
                <w:b/>
              </w:rPr>
              <w:t xml:space="preserve">proper </w:t>
            </w:r>
            <w:r w:rsidR="00BA0CD3">
              <w:rPr>
                <w:b/>
              </w:rPr>
              <w:t>materials (</w:t>
            </w:r>
            <w:r w:rsidR="00D843CA">
              <w:rPr>
                <w:b/>
              </w:rPr>
              <w:t>fiber roll</w:t>
            </w:r>
            <w:r w:rsidR="00BA0CD3">
              <w:rPr>
                <w:b/>
              </w:rPr>
              <w:t xml:space="preserve">, </w:t>
            </w:r>
            <w:r w:rsidR="00D843CA">
              <w:rPr>
                <w:b/>
              </w:rPr>
              <w:t>gravel bag</w:t>
            </w:r>
            <w:r w:rsidR="008B1D19">
              <w:rPr>
                <w:b/>
              </w:rPr>
              <w:t>)</w:t>
            </w:r>
            <w:r w:rsidR="00BA0779" w:rsidRPr="00BA0779">
              <w:rPr>
                <w:b/>
              </w:rPr>
              <w:t>?</w:t>
            </w:r>
          </w:p>
        </w:tc>
      </w:tr>
      <w:tr w:rsidR="00D843CA" w:rsidRPr="00B55F29" w:rsidTr="00246743">
        <w:trPr>
          <w:cantSplit/>
        </w:trPr>
        <w:tc>
          <w:tcPr>
            <w:tcW w:w="2718" w:type="dxa"/>
            <w:vAlign w:val="center"/>
          </w:tcPr>
          <w:p w:rsidR="00D843CA" w:rsidRPr="00947215" w:rsidRDefault="00D843CA" w:rsidP="00381E98">
            <w:pPr>
              <w:jc w:val="center"/>
              <w:rPr>
                <w:b/>
              </w:rPr>
            </w:pPr>
            <w:r>
              <w:rPr>
                <w:b/>
              </w:rPr>
              <w:t xml:space="preserve">SPECs, </w:t>
            </w:r>
            <w:r w:rsidRPr="00947215">
              <w:rPr>
                <w:b/>
              </w:rPr>
              <w:t>13-5.02G  Gravel-Filled Bags</w:t>
            </w:r>
          </w:p>
        </w:tc>
        <w:tc>
          <w:tcPr>
            <w:tcW w:w="11970" w:type="dxa"/>
            <w:vAlign w:val="center"/>
          </w:tcPr>
          <w:p w:rsidR="00D843CA" w:rsidRDefault="00D843CA" w:rsidP="00381E98">
            <w:pPr>
              <w:ind w:left="72"/>
            </w:pPr>
            <w:r>
              <w:t>Gravel-filled bags must:</w:t>
            </w:r>
          </w:p>
          <w:p w:rsidR="00D843CA" w:rsidRDefault="00D843CA" w:rsidP="00381E98">
            <w:pPr>
              <w:ind w:left="72"/>
            </w:pPr>
            <w:r>
              <w:t xml:space="preserve">1. Be made of </w:t>
            </w:r>
            <w:proofErr w:type="spellStart"/>
            <w:r>
              <w:t>geosynthetic</w:t>
            </w:r>
            <w:proofErr w:type="spellEnd"/>
            <w:r>
              <w:t xml:space="preserve"> gravel-filled bag.</w:t>
            </w:r>
          </w:p>
          <w:p w:rsidR="00D843CA" w:rsidRDefault="00D843CA" w:rsidP="00381E98">
            <w:pPr>
              <w:ind w:left="72"/>
            </w:pPr>
            <w:r>
              <w:t>2. Have inside dimensions from 24 to 32 inches long and from 16 to 20 inches wide.</w:t>
            </w:r>
          </w:p>
          <w:p w:rsidR="00D843CA" w:rsidRDefault="00D843CA" w:rsidP="00381E98">
            <w:pPr>
              <w:ind w:left="72"/>
            </w:pPr>
            <w:r>
              <w:t>3. Have a bound opening to keep gravel. The opening must be sewn with yarn, bound with wire, or secured with a closure device.</w:t>
            </w:r>
          </w:p>
          <w:p w:rsidR="00D843CA" w:rsidRDefault="00D843CA" w:rsidP="00381E98">
            <w:pPr>
              <w:ind w:left="72"/>
            </w:pPr>
            <w:r>
              <w:t>4. Weigh from 30 to 50 pounds when filled with gravel.</w:t>
            </w:r>
          </w:p>
          <w:p w:rsidR="00D843CA" w:rsidRPr="005006E7" w:rsidRDefault="00D843CA" w:rsidP="00381E98">
            <w:pPr>
              <w:ind w:left="72"/>
            </w:pPr>
            <w:r>
              <w:t>Gravel for gravel-filled bags must be from 3/8 to 3/4 inch in diameter and must be clean and free of clay balls, organic matter, and other deleterious materials.</w:t>
            </w:r>
          </w:p>
        </w:tc>
      </w:tr>
      <w:tr w:rsidR="00234D22" w:rsidRPr="00B55F29" w:rsidTr="00246743">
        <w:tc>
          <w:tcPr>
            <w:tcW w:w="2718" w:type="dxa"/>
            <w:vAlign w:val="center"/>
          </w:tcPr>
          <w:p w:rsidR="00234D22" w:rsidRPr="009D516B" w:rsidRDefault="00234D22" w:rsidP="00890318">
            <w:pPr>
              <w:jc w:val="center"/>
              <w:rPr>
                <w:b/>
              </w:rPr>
            </w:pPr>
            <w:r>
              <w:rPr>
                <w:b/>
              </w:rPr>
              <w:t xml:space="preserve">SPECs, </w:t>
            </w:r>
            <w:r w:rsidRPr="009D516B">
              <w:rPr>
                <w:b/>
              </w:rPr>
              <w:t>21-1.02P  Fiber Rolls</w:t>
            </w:r>
          </w:p>
        </w:tc>
        <w:tc>
          <w:tcPr>
            <w:tcW w:w="11970" w:type="dxa"/>
            <w:vAlign w:val="center"/>
          </w:tcPr>
          <w:p w:rsidR="00234D22" w:rsidRDefault="00234D22" w:rsidP="00D843CA">
            <w:pPr>
              <w:ind w:left="72"/>
            </w:pPr>
            <w:r>
              <w:t xml:space="preserve">Fiber roll must have a minimum functional longevity of 1 year and comply with the following requirements: </w:t>
            </w:r>
          </w:p>
          <w:p w:rsidR="00234D22" w:rsidRDefault="00234D22" w:rsidP="00D843CA">
            <w:pPr>
              <w:ind w:left="72"/>
            </w:pPr>
            <w:r>
              <w:t>1. Type A fiber roll must be fabricated from an erosion control blanket rolled along its width. Secure with natural fiber twine at 6-foot intervals, and 6 inches from each end. Fiber roll size must comply with either one of the following:</w:t>
            </w:r>
          </w:p>
          <w:p w:rsidR="00234D22" w:rsidRDefault="00234D22" w:rsidP="00D843CA">
            <w:pPr>
              <w:ind w:left="72"/>
            </w:pPr>
            <w:r>
              <w:t xml:space="preserve">1.1. 8 to 10 inches in diameter, 10 to 20 feet long, and at least 0.5 </w:t>
            </w:r>
            <w:proofErr w:type="spellStart"/>
            <w:r>
              <w:t>lb</w:t>
            </w:r>
            <w:proofErr w:type="spellEnd"/>
            <w:r>
              <w:t>/</w:t>
            </w:r>
            <w:proofErr w:type="spellStart"/>
            <w:r>
              <w:t>ft</w:t>
            </w:r>
            <w:proofErr w:type="spellEnd"/>
          </w:p>
          <w:p w:rsidR="00234D22" w:rsidRDefault="00234D22" w:rsidP="00D843CA">
            <w:pPr>
              <w:ind w:left="72"/>
            </w:pPr>
            <w:r>
              <w:t xml:space="preserve">1.2. 10 to 12 inches in diameter, at least 10 feet long, and at least 2 </w:t>
            </w:r>
            <w:proofErr w:type="spellStart"/>
            <w:r>
              <w:t>lb</w:t>
            </w:r>
            <w:proofErr w:type="spellEnd"/>
            <w:r>
              <w:t>/</w:t>
            </w:r>
            <w:proofErr w:type="spellStart"/>
            <w:r>
              <w:t>ft</w:t>
            </w:r>
            <w:proofErr w:type="spellEnd"/>
          </w:p>
          <w:p w:rsidR="00234D22" w:rsidRDefault="00234D22" w:rsidP="00D843CA">
            <w:pPr>
              <w:ind w:left="72"/>
            </w:pPr>
            <w:r>
              <w:t>2. Type B fiber roll must be a premanufactured roll filled with rice or wheat straw, wood excelsior, or coconut fiber. Rolls must be covered with biodegradable jute, sisal, or coir fiber netting secured tightly at each end. Fiber roll size must comply with either one of the following:</w:t>
            </w:r>
          </w:p>
          <w:p w:rsidR="00234D22" w:rsidRDefault="00234D22" w:rsidP="00D843CA">
            <w:pPr>
              <w:ind w:left="72"/>
            </w:pPr>
            <w:r>
              <w:t xml:space="preserve">2.1. 8 to 10 inches in diameter, 10 to 20 feet long, and at least 1.1 </w:t>
            </w:r>
            <w:proofErr w:type="spellStart"/>
            <w:r>
              <w:t>lb</w:t>
            </w:r>
            <w:proofErr w:type="spellEnd"/>
            <w:r>
              <w:t>/</w:t>
            </w:r>
            <w:proofErr w:type="spellStart"/>
            <w:r>
              <w:t>ft</w:t>
            </w:r>
            <w:proofErr w:type="spellEnd"/>
            <w:r>
              <w:t xml:space="preserve"> </w:t>
            </w:r>
          </w:p>
          <w:p w:rsidR="00234D22" w:rsidRPr="005006E7" w:rsidRDefault="00234D22" w:rsidP="00836D75">
            <w:pPr>
              <w:ind w:left="72"/>
            </w:pPr>
            <w:r>
              <w:t xml:space="preserve">2.2. 10 to 12 inches in diameter, at least 10 feet long, and at least 3 </w:t>
            </w:r>
            <w:proofErr w:type="spellStart"/>
            <w:r>
              <w:t>lb</w:t>
            </w:r>
            <w:proofErr w:type="spellEnd"/>
            <w:r>
              <w:t>/</w:t>
            </w:r>
            <w:proofErr w:type="spellStart"/>
            <w:r>
              <w:t>ft</w:t>
            </w:r>
            <w:proofErr w:type="spellEnd"/>
          </w:p>
        </w:tc>
      </w:tr>
      <w:tr w:rsidR="00234D22" w:rsidRPr="00EC0E3D" w:rsidTr="00246743">
        <w:trPr>
          <w:cantSplit/>
        </w:trPr>
        <w:tc>
          <w:tcPr>
            <w:tcW w:w="2718" w:type="dxa"/>
            <w:vAlign w:val="center"/>
          </w:tcPr>
          <w:p w:rsidR="00234D22" w:rsidRPr="009D516B" w:rsidRDefault="00234D22" w:rsidP="00890318">
            <w:pPr>
              <w:jc w:val="center"/>
              <w:rPr>
                <w:b/>
              </w:rPr>
            </w:pPr>
            <w:r>
              <w:rPr>
                <w:b/>
              </w:rPr>
              <w:lastRenderedPageBreak/>
              <w:t xml:space="preserve">SPECs, </w:t>
            </w:r>
            <w:r w:rsidRPr="009D516B">
              <w:rPr>
                <w:b/>
              </w:rPr>
              <w:t>21-1.02R Fasteners</w:t>
            </w:r>
          </w:p>
        </w:tc>
        <w:tc>
          <w:tcPr>
            <w:tcW w:w="11970" w:type="dxa"/>
            <w:vAlign w:val="center"/>
          </w:tcPr>
          <w:p w:rsidR="00234D22" w:rsidRDefault="00234D22" w:rsidP="00D843CA">
            <w:pPr>
              <w:ind w:left="72"/>
            </w:pPr>
            <w:r>
              <w:t>Wood stakes must be untreated fir, redwood, cedar, or pine and cut from sound timber. The ends must be pointed for driving into the ground. Notched stakes must be at least 1 by 2 by 24 inches in size. Stakes without notches must be at least 1 by 1 by 24 inches.</w:t>
            </w:r>
          </w:p>
          <w:p w:rsidR="00234D22" w:rsidRDefault="00234D22" w:rsidP="00D843CA">
            <w:pPr>
              <w:ind w:left="72"/>
            </w:pPr>
            <w:r>
              <w:t>Metal stakes must be at least 1/2 inch in diameter and have tops bent at 90-degree angles or capped with an orange or red plastic safety cap that fits snugly onto the metal stake.</w:t>
            </w:r>
          </w:p>
          <w:p w:rsidR="00234D22" w:rsidRPr="005006E7" w:rsidRDefault="00234D22" w:rsidP="00D843CA">
            <w:pPr>
              <w:ind w:left="72"/>
            </w:pPr>
            <w:r>
              <w:t>Rope to fasten fiber rolls and compost socks must be 1/4 inch in diameter and biodegradable, such as sisal or manila.</w:t>
            </w: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246743">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246743">
        <w:trPr>
          <w:trHeight w:val="288"/>
        </w:trPr>
        <w:tc>
          <w:tcPr>
            <w:tcW w:w="2718" w:type="dxa"/>
            <w:shd w:val="clear" w:color="auto" w:fill="F2F2F2" w:themeFill="background1" w:themeFillShade="F2"/>
            <w:noWrap/>
            <w:vAlign w:val="center"/>
          </w:tcPr>
          <w:p w:rsidR="00BA0779" w:rsidRPr="00BA0779" w:rsidRDefault="000122FE" w:rsidP="00836D75">
            <w:pPr>
              <w:jc w:val="center"/>
              <w:rPr>
                <w:b/>
              </w:rPr>
            </w:pPr>
            <w:r>
              <w:rPr>
                <w:b/>
              </w:rPr>
              <w:t>SC</w:t>
            </w:r>
            <w:r w:rsidR="00836D75">
              <w:rPr>
                <w:b/>
              </w:rPr>
              <w:t>4</w:t>
            </w:r>
            <w:r>
              <w:rPr>
                <w:b/>
              </w:rPr>
              <w:t>.</w:t>
            </w:r>
            <w:r w:rsidR="003362E6">
              <w:rPr>
                <w:b/>
              </w:rPr>
              <w:t>4</w:t>
            </w:r>
          </w:p>
        </w:tc>
        <w:tc>
          <w:tcPr>
            <w:tcW w:w="11970" w:type="dxa"/>
            <w:shd w:val="clear" w:color="auto" w:fill="F2F2F2" w:themeFill="background1" w:themeFillShade="F2"/>
            <w:vAlign w:val="center"/>
          </w:tcPr>
          <w:p w:rsidR="00BA0779" w:rsidRPr="00BA0779" w:rsidRDefault="00BA0CD3" w:rsidP="005F73E4">
            <w:pPr>
              <w:ind w:left="72"/>
              <w:rPr>
                <w:b/>
              </w:rPr>
            </w:pPr>
            <w:r>
              <w:rPr>
                <w:b/>
              </w:rPr>
              <w:t xml:space="preserve">Is the Temporary </w:t>
            </w:r>
            <w:r w:rsidR="00836D75">
              <w:rPr>
                <w:b/>
              </w:rPr>
              <w:t>Check Dam</w:t>
            </w:r>
            <w:r w:rsidR="00BA0779" w:rsidRPr="00BA0779">
              <w:rPr>
                <w:b/>
              </w:rPr>
              <w:t xml:space="preserve"> maintained </w:t>
            </w:r>
            <w:r w:rsidR="005F73E4">
              <w:rPr>
                <w:b/>
              </w:rPr>
              <w:t>proper</w:t>
            </w:r>
            <w:r w:rsidR="00BA0779" w:rsidRPr="00BA0779">
              <w:rPr>
                <w:b/>
              </w:rPr>
              <w:t>ly?</w:t>
            </w:r>
          </w:p>
        </w:tc>
      </w:tr>
      <w:tr w:rsidR="00D82820" w:rsidRPr="00B55F29" w:rsidTr="00246743">
        <w:tc>
          <w:tcPr>
            <w:tcW w:w="2718" w:type="dxa"/>
            <w:vAlign w:val="center"/>
          </w:tcPr>
          <w:p w:rsidR="00D82820" w:rsidRPr="00A2794F" w:rsidRDefault="00D82820" w:rsidP="00D82820">
            <w:pPr>
              <w:jc w:val="center"/>
              <w:rPr>
                <w:b/>
              </w:rPr>
            </w:pPr>
            <w:bookmarkStart w:id="0" w:name="_GoBack"/>
            <w:bookmarkEnd w:id="0"/>
            <w:r>
              <w:rPr>
                <w:b/>
              </w:rPr>
              <w:t xml:space="preserve">CGP, </w:t>
            </w:r>
            <w:r w:rsidRPr="00A2794F">
              <w:rPr>
                <w:b/>
              </w:rPr>
              <w:t>Attachment D.E.6; E.E.6</w:t>
            </w:r>
          </w:p>
        </w:tc>
        <w:tc>
          <w:tcPr>
            <w:tcW w:w="11970" w:type="dxa"/>
          </w:tcPr>
          <w:p w:rsidR="00D82820" w:rsidRDefault="00D82820" w:rsidP="00836D75">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246743">
        <w:tc>
          <w:tcPr>
            <w:tcW w:w="2718" w:type="dxa"/>
            <w:vAlign w:val="center"/>
          </w:tcPr>
          <w:p w:rsidR="006E4A7A" w:rsidRPr="00AA06CC" w:rsidRDefault="009E5D32" w:rsidP="00890318">
            <w:pPr>
              <w:jc w:val="center"/>
              <w:rPr>
                <w:b/>
              </w:rPr>
            </w:pPr>
            <w:r>
              <w:rPr>
                <w:b/>
              </w:rPr>
              <w:t xml:space="preserve">CGP, </w:t>
            </w:r>
            <w:r w:rsidR="006E4A7A" w:rsidRPr="00AA06CC">
              <w:rPr>
                <w:b/>
              </w:rPr>
              <w:t>Order IV.E</w:t>
            </w:r>
            <w:r w:rsidR="003362E6">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pPr>
        <w:rPr>
          <w:szCs w:val="18"/>
        </w:rPr>
      </w:pPr>
      <w:r>
        <w:rPr>
          <w:szCs w:val="18"/>
        </w:rPr>
        <w:br w:type="page"/>
      </w:r>
    </w:p>
    <w:p w:rsidR="009D516B" w:rsidRDefault="00234D22" w:rsidP="008B4348">
      <w:pPr>
        <w:rPr>
          <w:szCs w:val="18"/>
        </w:rPr>
      </w:pPr>
      <w:r>
        <w:rPr>
          <w:noProof/>
          <w:szCs w:val="18"/>
        </w:rPr>
        <w:lastRenderedPageBreak/>
        <w:drawing>
          <wp:inline distT="0" distB="0" distL="0" distR="0">
            <wp:extent cx="9418320" cy="61099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0095" cy="6111136"/>
                    </a:xfrm>
                    <a:prstGeom prst="rect">
                      <a:avLst/>
                    </a:prstGeom>
                  </pic:spPr>
                </pic:pic>
              </a:graphicData>
            </a:graphic>
          </wp:inline>
        </w:drawing>
      </w:r>
    </w:p>
    <w:p w:rsidR="00A927D5" w:rsidRDefault="00A927D5">
      <w:pPr>
        <w:rPr>
          <w:szCs w:val="18"/>
        </w:rPr>
      </w:pPr>
    </w:p>
    <w:sectPr w:rsidR="00A927D5" w:rsidSect="001109EC">
      <w:headerReference w:type="default" r:id="rId10"/>
      <w:footerReference w:type="default" r:id="rId11"/>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EE" w:rsidRDefault="000211EE" w:rsidP="00EE1060">
      <w:pPr>
        <w:spacing w:after="0" w:line="240" w:lineRule="auto"/>
      </w:pPr>
      <w:r>
        <w:separator/>
      </w:r>
    </w:p>
  </w:endnote>
  <w:endnote w:type="continuationSeparator" w:id="0">
    <w:p w:rsidR="000211EE" w:rsidRDefault="000211EE"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EE1060" w:rsidP="00F505E7">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7209D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09D2">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EE" w:rsidRDefault="000211EE" w:rsidP="00EE1060">
      <w:pPr>
        <w:spacing w:after="0" w:line="240" w:lineRule="auto"/>
      </w:pPr>
      <w:r>
        <w:separator/>
      </w:r>
    </w:p>
  </w:footnote>
  <w:footnote w:type="continuationSeparator" w:id="0">
    <w:p w:rsidR="000211EE" w:rsidRDefault="000211EE"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BB3759" w:rsidP="000122FE">
    <w:pPr>
      <w:pStyle w:val="Header"/>
      <w:tabs>
        <w:tab w:val="clear" w:pos="4680"/>
        <w:tab w:val="clear" w:pos="9360"/>
      </w:tabs>
      <w:spacing w:after="120"/>
      <w:jc w:val="center"/>
      <w:rPr>
        <w:b/>
        <w:sz w:val="20"/>
        <w:szCs w:val="20"/>
      </w:rPr>
    </w:pPr>
    <w:r w:rsidRPr="00F505E7">
      <w:rPr>
        <w:b/>
        <w:sz w:val="20"/>
        <w:szCs w:val="20"/>
      </w:rPr>
      <w:t xml:space="preserve">TEMPORARY </w:t>
    </w:r>
    <w:r w:rsidR="00D3186C">
      <w:rPr>
        <w:b/>
        <w:sz w:val="20"/>
        <w:szCs w:val="20"/>
      </w:rPr>
      <w:t>CHECK DAM</w:t>
    </w:r>
    <w:r w:rsidR="00F505E7" w:rsidRPr="00F505E7">
      <w:rPr>
        <w:b/>
        <w:sz w:val="20"/>
        <w:szCs w:val="20"/>
      </w:rPr>
      <w:t>, SC-</w:t>
    </w:r>
    <w:r w:rsidR="00D3186C">
      <w:rPr>
        <w:b/>
        <w:sz w:val="20"/>
        <w:szCs w:val="20"/>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211EE"/>
    <w:rsid w:val="000605BF"/>
    <w:rsid w:val="00070BAA"/>
    <w:rsid w:val="00084E61"/>
    <w:rsid w:val="000C2851"/>
    <w:rsid w:val="000D3DDC"/>
    <w:rsid w:val="000E3C42"/>
    <w:rsid w:val="000F1733"/>
    <w:rsid w:val="00100A9F"/>
    <w:rsid w:val="001109EC"/>
    <w:rsid w:val="001128E1"/>
    <w:rsid w:val="0012197C"/>
    <w:rsid w:val="001361EB"/>
    <w:rsid w:val="001606D0"/>
    <w:rsid w:val="00160CC1"/>
    <w:rsid w:val="00183AD7"/>
    <w:rsid w:val="00196EC8"/>
    <w:rsid w:val="001A058F"/>
    <w:rsid w:val="001A42E7"/>
    <w:rsid w:val="001B31E8"/>
    <w:rsid w:val="001D297C"/>
    <w:rsid w:val="002119A7"/>
    <w:rsid w:val="00230028"/>
    <w:rsid w:val="00234D22"/>
    <w:rsid w:val="00246743"/>
    <w:rsid w:val="00283B78"/>
    <w:rsid w:val="002A7253"/>
    <w:rsid w:val="002B02FD"/>
    <w:rsid w:val="00303DC3"/>
    <w:rsid w:val="0031156C"/>
    <w:rsid w:val="00327A0E"/>
    <w:rsid w:val="003362E6"/>
    <w:rsid w:val="00343251"/>
    <w:rsid w:val="00357042"/>
    <w:rsid w:val="003C643F"/>
    <w:rsid w:val="00423068"/>
    <w:rsid w:val="004240A0"/>
    <w:rsid w:val="00435CE3"/>
    <w:rsid w:val="004429E7"/>
    <w:rsid w:val="004550DA"/>
    <w:rsid w:val="004A565C"/>
    <w:rsid w:val="004F0E46"/>
    <w:rsid w:val="004F4DF6"/>
    <w:rsid w:val="00577024"/>
    <w:rsid w:val="005871EF"/>
    <w:rsid w:val="005A3EC9"/>
    <w:rsid w:val="005C2D55"/>
    <w:rsid w:val="005F6773"/>
    <w:rsid w:val="005F73E4"/>
    <w:rsid w:val="0060019D"/>
    <w:rsid w:val="006014FA"/>
    <w:rsid w:val="00612583"/>
    <w:rsid w:val="00616230"/>
    <w:rsid w:val="00622FBA"/>
    <w:rsid w:val="0062540E"/>
    <w:rsid w:val="00640ED9"/>
    <w:rsid w:val="00675C33"/>
    <w:rsid w:val="006A6281"/>
    <w:rsid w:val="006D253F"/>
    <w:rsid w:val="006E4A7A"/>
    <w:rsid w:val="0071756B"/>
    <w:rsid w:val="007209D2"/>
    <w:rsid w:val="00740EDB"/>
    <w:rsid w:val="00744F46"/>
    <w:rsid w:val="00753F0B"/>
    <w:rsid w:val="00763A19"/>
    <w:rsid w:val="00776229"/>
    <w:rsid w:val="007B567E"/>
    <w:rsid w:val="007D0045"/>
    <w:rsid w:val="007D7A0A"/>
    <w:rsid w:val="007E5424"/>
    <w:rsid w:val="00803054"/>
    <w:rsid w:val="008330A8"/>
    <w:rsid w:val="00835C8A"/>
    <w:rsid w:val="00836D75"/>
    <w:rsid w:val="008541FC"/>
    <w:rsid w:val="008622D0"/>
    <w:rsid w:val="00864955"/>
    <w:rsid w:val="008870DA"/>
    <w:rsid w:val="00890318"/>
    <w:rsid w:val="008A0946"/>
    <w:rsid w:val="008A6150"/>
    <w:rsid w:val="008B1D19"/>
    <w:rsid w:val="008B4348"/>
    <w:rsid w:val="008C1F7D"/>
    <w:rsid w:val="008F0900"/>
    <w:rsid w:val="008F348A"/>
    <w:rsid w:val="00941FBD"/>
    <w:rsid w:val="00957C13"/>
    <w:rsid w:val="009A4402"/>
    <w:rsid w:val="009B493E"/>
    <w:rsid w:val="009C270A"/>
    <w:rsid w:val="009D516B"/>
    <w:rsid w:val="009E2E10"/>
    <w:rsid w:val="009E5D32"/>
    <w:rsid w:val="009F0DF5"/>
    <w:rsid w:val="009F51C8"/>
    <w:rsid w:val="00A61063"/>
    <w:rsid w:val="00A63359"/>
    <w:rsid w:val="00A7700F"/>
    <w:rsid w:val="00A927D5"/>
    <w:rsid w:val="00AA033F"/>
    <w:rsid w:val="00AA06CC"/>
    <w:rsid w:val="00AB375E"/>
    <w:rsid w:val="00AC4D97"/>
    <w:rsid w:val="00AE6BEC"/>
    <w:rsid w:val="00B13C40"/>
    <w:rsid w:val="00B25A6A"/>
    <w:rsid w:val="00B457FA"/>
    <w:rsid w:val="00B55F29"/>
    <w:rsid w:val="00B56A50"/>
    <w:rsid w:val="00B61E23"/>
    <w:rsid w:val="00B6366C"/>
    <w:rsid w:val="00B86734"/>
    <w:rsid w:val="00B91787"/>
    <w:rsid w:val="00BA0779"/>
    <w:rsid w:val="00BA0CD3"/>
    <w:rsid w:val="00BB3759"/>
    <w:rsid w:val="00BB4F30"/>
    <w:rsid w:val="00BE34B6"/>
    <w:rsid w:val="00BE5CE0"/>
    <w:rsid w:val="00C03DAA"/>
    <w:rsid w:val="00C15C3C"/>
    <w:rsid w:val="00C36452"/>
    <w:rsid w:val="00C4222C"/>
    <w:rsid w:val="00C85E98"/>
    <w:rsid w:val="00C85F7D"/>
    <w:rsid w:val="00C877BC"/>
    <w:rsid w:val="00C9306F"/>
    <w:rsid w:val="00CA36C8"/>
    <w:rsid w:val="00CC4EB1"/>
    <w:rsid w:val="00CD05F5"/>
    <w:rsid w:val="00CD69FF"/>
    <w:rsid w:val="00CE198B"/>
    <w:rsid w:val="00CE4043"/>
    <w:rsid w:val="00CF5251"/>
    <w:rsid w:val="00D10396"/>
    <w:rsid w:val="00D3117A"/>
    <w:rsid w:val="00D3186C"/>
    <w:rsid w:val="00D47225"/>
    <w:rsid w:val="00D700D2"/>
    <w:rsid w:val="00D82820"/>
    <w:rsid w:val="00D843CA"/>
    <w:rsid w:val="00DE6865"/>
    <w:rsid w:val="00DF12F6"/>
    <w:rsid w:val="00DF3C8A"/>
    <w:rsid w:val="00E12C05"/>
    <w:rsid w:val="00E60ABF"/>
    <w:rsid w:val="00E74736"/>
    <w:rsid w:val="00EB731D"/>
    <w:rsid w:val="00EC151D"/>
    <w:rsid w:val="00EC65E2"/>
    <w:rsid w:val="00EE1060"/>
    <w:rsid w:val="00EE3866"/>
    <w:rsid w:val="00EF6A86"/>
    <w:rsid w:val="00F109EB"/>
    <w:rsid w:val="00F31D85"/>
    <w:rsid w:val="00F505E7"/>
    <w:rsid w:val="00F63661"/>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FB436-C681-4FEC-8AA0-C45CD61B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2017-05-09T22:15:00Z</cp:lastPrinted>
  <dcterms:created xsi:type="dcterms:W3CDTF">2017-04-22T17:12:00Z</dcterms:created>
  <dcterms:modified xsi:type="dcterms:W3CDTF">2017-05-09T22:15:00Z</dcterms:modified>
</cp:coreProperties>
</file>