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718"/>
        <w:gridCol w:w="11970"/>
      </w:tblGrid>
      <w:tr w:rsidR="00957C13" w:rsidRPr="00B55F29" w:rsidTr="00825FFB">
        <w:trPr>
          <w:trHeight w:val="288"/>
        </w:trPr>
        <w:tc>
          <w:tcPr>
            <w:tcW w:w="2718" w:type="dxa"/>
            <w:noWrap/>
            <w:vAlign w:val="center"/>
          </w:tcPr>
          <w:p w:rsidR="00957C13" w:rsidRPr="006A6281" w:rsidRDefault="00957C13" w:rsidP="001109EC">
            <w:pPr>
              <w:jc w:val="center"/>
            </w:pPr>
            <w:r>
              <w:rPr>
                <w:b/>
              </w:rPr>
              <w:t>QUESTION</w:t>
            </w:r>
          </w:p>
        </w:tc>
        <w:tc>
          <w:tcPr>
            <w:tcW w:w="11970" w:type="dxa"/>
            <w:vAlign w:val="center"/>
            <w:hideMark/>
          </w:tcPr>
          <w:p w:rsidR="00957C13" w:rsidRPr="00B55F29" w:rsidRDefault="00957C13" w:rsidP="00957C13">
            <w:pPr>
              <w:rPr>
                <w:szCs w:val="18"/>
              </w:rPr>
            </w:pPr>
            <w:r w:rsidRPr="00B55F29">
              <w:rPr>
                <w:b/>
                <w:bCs/>
                <w:szCs w:val="18"/>
              </w:rPr>
              <w:t>Application</w:t>
            </w:r>
          </w:p>
        </w:tc>
      </w:tr>
      <w:tr w:rsidR="00423068" w:rsidRPr="00B55F29" w:rsidTr="00825FFB">
        <w:trPr>
          <w:trHeight w:val="288"/>
        </w:trPr>
        <w:tc>
          <w:tcPr>
            <w:tcW w:w="2718" w:type="dxa"/>
            <w:shd w:val="clear" w:color="auto" w:fill="F2F2F2" w:themeFill="background1" w:themeFillShade="F2"/>
            <w:noWrap/>
            <w:vAlign w:val="center"/>
          </w:tcPr>
          <w:p w:rsidR="00423068" w:rsidRPr="00423068" w:rsidRDefault="0019589D" w:rsidP="00536352">
            <w:pPr>
              <w:jc w:val="center"/>
              <w:rPr>
                <w:b/>
              </w:rPr>
            </w:pPr>
            <w:r>
              <w:rPr>
                <w:b/>
              </w:rPr>
              <w:t>TC2</w:t>
            </w:r>
            <w:r w:rsidR="00423068" w:rsidRPr="00423068">
              <w:rPr>
                <w:b/>
              </w:rPr>
              <w:t>.1</w:t>
            </w:r>
          </w:p>
        </w:tc>
        <w:tc>
          <w:tcPr>
            <w:tcW w:w="11970" w:type="dxa"/>
            <w:shd w:val="clear" w:color="auto" w:fill="F2F2F2" w:themeFill="background1" w:themeFillShade="F2"/>
            <w:vAlign w:val="center"/>
          </w:tcPr>
          <w:p w:rsidR="00423068" w:rsidRPr="00423068" w:rsidRDefault="009C270A" w:rsidP="0019589D">
            <w:pPr>
              <w:ind w:left="72"/>
              <w:rPr>
                <w:b/>
              </w:rPr>
            </w:pPr>
            <w:r>
              <w:rPr>
                <w:b/>
              </w:rPr>
              <w:t xml:space="preserve">Is </w:t>
            </w:r>
            <w:r w:rsidR="00536352">
              <w:rPr>
                <w:b/>
              </w:rPr>
              <w:t xml:space="preserve">Temporary Construction </w:t>
            </w:r>
            <w:r w:rsidR="0019589D">
              <w:rPr>
                <w:b/>
              </w:rPr>
              <w:t>Roadway</w:t>
            </w:r>
            <w:r w:rsidR="00536352">
              <w:rPr>
                <w:b/>
              </w:rPr>
              <w:t xml:space="preserve"> </w:t>
            </w:r>
            <w:r w:rsidR="002F7591">
              <w:rPr>
                <w:b/>
              </w:rPr>
              <w:t>applied</w:t>
            </w:r>
            <w:r w:rsidR="008C5C5B">
              <w:rPr>
                <w:b/>
              </w:rPr>
              <w:t xml:space="preserve"> as required</w:t>
            </w:r>
            <w:r w:rsidR="00423068" w:rsidRPr="00423068">
              <w:rPr>
                <w:b/>
              </w:rPr>
              <w:t>?</w:t>
            </w:r>
          </w:p>
        </w:tc>
      </w:tr>
      <w:tr w:rsidR="00536352" w:rsidRPr="00A4058A" w:rsidTr="00825FFB">
        <w:trPr>
          <w:cantSplit/>
        </w:trPr>
        <w:tc>
          <w:tcPr>
            <w:tcW w:w="2718" w:type="dxa"/>
            <w:vAlign w:val="center"/>
          </w:tcPr>
          <w:p w:rsidR="00536352" w:rsidRPr="0007355F" w:rsidRDefault="0019589D" w:rsidP="00536352">
            <w:pPr>
              <w:jc w:val="center"/>
              <w:rPr>
                <w:b/>
              </w:rPr>
            </w:pPr>
            <w:r>
              <w:rPr>
                <w:b/>
              </w:rPr>
              <w:t>None</w:t>
            </w:r>
          </w:p>
        </w:tc>
        <w:tc>
          <w:tcPr>
            <w:tcW w:w="11970" w:type="dxa"/>
            <w:vAlign w:val="center"/>
          </w:tcPr>
          <w:p w:rsidR="00536352" w:rsidRPr="00B55F29" w:rsidRDefault="0019589D" w:rsidP="0019589D">
            <w:pPr>
              <w:ind w:left="72"/>
              <w:rPr>
                <w:szCs w:val="18"/>
              </w:rPr>
            </w:pPr>
            <w:r>
              <w:rPr>
                <w:szCs w:val="18"/>
              </w:rPr>
              <w:t>Not a specific CGP or Water Pollution Control Specification requirement</w:t>
            </w:r>
          </w:p>
        </w:tc>
      </w:tr>
    </w:tbl>
    <w:p w:rsidR="008A6150" w:rsidRPr="00B55F29" w:rsidRDefault="008A6150" w:rsidP="008A6150">
      <w:pPr>
        <w:spacing w:after="0"/>
        <w:ind w:left="72"/>
        <w:jc w:val="center"/>
        <w:rPr>
          <w:szCs w:val="18"/>
        </w:rPr>
      </w:pPr>
    </w:p>
    <w:tbl>
      <w:tblPr>
        <w:tblStyle w:val="TableGrid"/>
        <w:tblW w:w="14688" w:type="dxa"/>
        <w:tblLook w:val="04A0" w:firstRow="1" w:lastRow="0" w:firstColumn="1" w:lastColumn="0" w:noHBand="0" w:noVBand="1"/>
      </w:tblPr>
      <w:tblGrid>
        <w:gridCol w:w="2718"/>
        <w:gridCol w:w="11970"/>
      </w:tblGrid>
      <w:tr w:rsidR="00435CE3" w:rsidRPr="00B55F29" w:rsidTr="00825FFB">
        <w:trPr>
          <w:trHeight w:val="288"/>
        </w:trPr>
        <w:tc>
          <w:tcPr>
            <w:tcW w:w="2718" w:type="dxa"/>
            <w:noWrap/>
            <w:vAlign w:val="center"/>
          </w:tcPr>
          <w:p w:rsidR="00435CE3" w:rsidRPr="006A6281" w:rsidRDefault="00435CE3" w:rsidP="006A6281"/>
        </w:tc>
        <w:tc>
          <w:tcPr>
            <w:tcW w:w="11970" w:type="dxa"/>
            <w:vAlign w:val="center"/>
            <w:hideMark/>
          </w:tcPr>
          <w:p w:rsidR="00435CE3" w:rsidRPr="00B55F29" w:rsidRDefault="00435CE3" w:rsidP="00BA0779">
            <w:pPr>
              <w:ind w:left="72"/>
              <w:rPr>
                <w:szCs w:val="18"/>
              </w:rPr>
            </w:pPr>
            <w:r w:rsidRPr="00B55F29">
              <w:rPr>
                <w:b/>
                <w:bCs/>
                <w:szCs w:val="18"/>
              </w:rPr>
              <w:t>Installation</w:t>
            </w:r>
          </w:p>
        </w:tc>
      </w:tr>
      <w:tr w:rsidR="00435CE3" w:rsidRPr="00B55F29" w:rsidTr="00825FFB">
        <w:trPr>
          <w:trHeight w:val="288"/>
        </w:trPr>
        <w:tc>
          <w:tcPr>
            <w:tcW w:w="2718" w:type="dxa"/>
            <w:shd w:val="clear" w:color="auto" w:fill="F2F2F2" w:themeFill="background1" w:themeFillShade="F2"/>
            <w:noWrap/>
            <w:vAlign w:val="center"/>
          </w:tcPr>
          <w:p w:rsidR="00435CE3" w:rsidRPr="00435CE3" w:rsidRDefault="00111F07" w:rsidP="0019589D">
            <w:pPr>
              <w:jc w:val="center"/>
              <w:rPr>
                <w:b/>
              </w:rPr>
            </w:pPr>
            <w:r>
              <w:rPr>
                <w:b/>
              </w:rPr>
              <w:t>TC</w:t>
            </w:r>
            <w:r w:rsidR="0019589D">
              <w:rPr>
                <w:b/>
              </w:rPr>
              <w:t>2</w:t>
            </w:r>
            <w:r w:rsidR="00675C33">
              <w:rPr>
                <w:b/>
              </w:rPr>
              <w:t>.2</w:t>
            </w:r>
          </w:p>
        </w:tc>
        <w:tc>
          <w:tcPr>
            <w:tcW w:w="11970" w:type="dxa"/>
            <w:shd w:val="clear" w:color="auto" w:fill="F2F2F2" w:themeFill="background1" w:themeFillShade="F2"/>
            <w:vAlign w:val="center"/>
          </w:tcPr>
          <w:p w:rsidR="00435CE3" w:rsidRPr="0062540E" w:rsidRDefault="00675C33" w:rsidP="0019589D">
            <w:pPr>
              <w:ind w:left="72"/>
              <w:rPr>
                <w:b/>
                <w:bCs/>
                <w:szCs w:val="18"/>
              </w:rPr>
            </w:pPr>
            <w:r>
              <w:rPr>
                <w:b/>
              </w:rPr>
              <w:t xml:space="preserve">Is the Temporary </w:t>
            </w:r>
            <w:r w:rsidR="008C5C5B">
              <w:rPr>
                <w:b/>
              </w:rPr>
              <w:t>Con</w:t>
            </w:r>
            <w:r w:rsidR="00111F07">
              <w:rPr>
                <w:b/>
              </w:rPr>
              <w:t xml:space="preserve">struction </w:t>
            </w:r>
            <w:r w:rsidR="0019589D">
              <w:rPr>
                <w:b/>
              </w:rPr>
              <w:t>Roadway</w:t>
            </w:r>
            <w:r w:rsidR="008C5C5B">
              <w:rPr>
                <w:b/>
              </w:rPr>
              <w:t xml:space="preserve"> </w:t>
            </w:r>
            <w:r w:rsidR="002F7591">
              <w:rPr>
                <w:b/>
              </w:rPr>
              <w:t>constructed</w:t>
            </w:r>
            <w:r w:rsidR="004D05B4">
              <w:rPr>
                <w:b/>
              </w:rPr>
              <w:t xml:space="preserve"> </w:t>
            </w:r>
            <w:r w:rsidR="008C5C5B">
              <w:rPr>
                <w:b/>
              </w:rPr>
              <w:t>properly</w:t>
            </w:r>
            <w:r w:rsidR="0062540E" w:rsidRPr="0062540E">
              <w:rPr>
                <w:b/>
              </w:rPr>
              <w:t>?</w:t>
            </w:r>
          </w:p>
        </w:tc>
      </w:tr>
      <w:tr w:rsidR="00536352" w:rsidRPr="00E332F4" w:rsidTr="00825FFB">
        <w:trPr>
          <w:cantSplit/>
        </w:trPr>
        <w:tc>
          <w:tcPr>
            <w:tcW w:w="2718" w:type="dxa"/>
            <w:vAlign w:val="center"/>
          </w:tcPr>
          <w:p w:rsidR="00536352" w:rsidRPr="0007355F" w:rsidRDefault="00536352" w:rsidP="00536352">
            <w:pPr>
              <w:jc w:val="center"/>
              <w:rPr>
                <w:b/>
                <w:szCs w:val="18"/>
              </w:rPr>
            </w:pPr>
            <w:r w:rsidRPr="0007355F">
              <w:rPr>
                <w:b/>
                <w:szCs w:val="18"/>
              </w:rPr>
              <w:t>SPECs, 13-7.03A General</w:t>
            </w:r>
          </w:p>
        </w:tc>
        <w:tc>
          <w:tcPr>
            <w:tcW w:w="11970" w:type="dxa"/>
            <w:vAlign w:val="center"/>
          </w:tcPr>
          <w:p w:rsidR="00536352" w:rsidRPr="00483BC0" w:rsidRDefault="00536352" w:rsidP="00536352">
            <w:pPr>
              <w:ind w:left="72"/>
              <w:rPr>
                <w:szCs w:val="18"/>
              </w:rPr>
            </w:pPr>
            <w:r w:rsidRPr="00483BC0">
              <w:rPr>
                <w:szCs w:val="18"/>
              </w:rPr>
              <w:t>Prepare the location for a temporary construction entrance or roadway as follows:</w:t>
            </w:r>
          </w:p>
          <w:p w:rsidR="00536352" w:rsidRPr="00483BC0" w:rsidRDefault="00536352" w:rsidP="00536352">
            <w:pPr>
              <w:ind w:left="72"/>
              <w:rPr>
                <w:szCs w:val="18"/>
              </w:rPr>
            </w:pPr>
            <w:r w:rsidRPr="00483BC0">
              <w:rPr>
                <w:szCs w:val="18"/>
              </w:rPr>
              <w:t>1. Remove vegetation to ground level and clear away debris</w:t>
            </w:r>
            <w:r>
              <w:rPr>
                <w:szCs w:val="18"/>
              </w:rPr>
              <w:tab/>
            </w:r>
            <w:r w:rsidRPr="00483BC0">
              <w:rPr>
                <w:szCs w:val="18"/>
              </w:rPr>
              <w:t>2. Grade the ground to a uniform plane</w:t>
            </w:r>
            <w:r>
              <w:rPr>
                <w:szCs w:val="18"/>
              </w:rPr>
              <w:tab/>
            </w:r>
            <w:r w:rsidRPr="00483BC0">
              <w:rPr>
                <w:szCs w:val="18"/>
              </w:rPr>
              <w:t>3. Grade the ground surface to drain</w:t>
            </w:r>
          </w:p>
          <w:p w:rsidR="00536352" w:rsidRPr="00483BC0" w:rsidRDefault="00536352" w:rsidP="00536352">
            <w:pPr>
              <w:ind w:left="72"/>
              <w:rPr>
                <w:szCs w:val="18"/>
              </w:rPr>
            </w:pPr>
            <w:r w:rsidRPr="00483BC0">
              <w:rPr>
                <w:szCs w:val="18"/>
              </w:rPr>
              <w:t>4. Remove sharp objects that could damage the fabric</w:t>
            </w:r>
            <w:r>
              <w:rPr>
                <w:szCs w:val="18"/>
              </w:rPr>
              <w:tab/>
            </w:r>
            <w:r>
              <w:rPr>
                <w:szCs w:val="18"/>
              </w:rPr>
              <w:tab/>
            </w:r>
            <w:r w:rsidRPr="00483BC0">
              <w:rPr>
                <w:szCs w:val="18"/>
              </w:rPr>
              <w:t>5. Compact the top 1.5 feet of the soil to at least 90 percent relative compaction</w:t>
            </w:r>
          </w:p>
          <w:p w:rsidR="00536352" w:rsidRPr="00483BC0" w:rsidRDefault="00536352" w:rsidP="00536352">
            <w:pPr>
              <w:ind w:left="72"/>
              <w:rPr>
                <w:szCs w:val="18"/>
              </w:rPr>
            </w:pPr>
            <w:r w:rsidRPr="00483BC0">
              <w:rPr>
                <w:szCs w:val="18"/>
              </w:rPr>
              <w:t>Construct a temporary construction entrance or roadway as follows:</w:t>
            </w:r>
          </w:p>
          <w:p w:rsidR="00536352" w:rsidRPr="00483BC0" w:rsidRDefault="00536352" w:rsidP="00536352">
            <w:pPr>
              <w:ind w:left="72"/>
              <w:rPr>
                <w:szCs w:val="18"/>
              </w:rPr>
            </w:pPr>
            <w:r w:rsidRPr="00483BC0">
              <w:rPr>
                <w:szCs w:val="18"/>
              </w:rPr>
              <w:t>1. Position the fabric along the length of the entrance or roadway</w:t>
            </w:r>
            <w:r>
              <w:rPr>
                <w:szCs w:val="18"/>
              </w:rPr>
              <w:tab/>
            </w:r>
            <w:r>
              <w:rPr>
                <w:szCs w:val="18"/>
              </w:rPr>
              <w:tab/>
            </w:r>
            <w:r w:rsidRPr="00483BC0">
              <w:rPr>
                <w:szCs w:val="18"/>
              </w:rPr>
              <w:t>2. Overlap the sides and ends of the fabric by at least 12 inches</w:t>
            </w:r>
          </w:p>
          <w:p w:rsidR="00536352" w:rsidRPr="00483BC0" w:rsidRDefault="00536352" w:rsidP="00536352">
            <w:pPr>
              <w:ind w:left="72"/>
              <w:rPr>
                <w:szCs w:val="18"/>
              </w:rPr>
            </w:pPr>
            <w:r w:rsidRPr="00483BC0">
              <w:rPr>
                <w:szCs w:val="18"/>
              </w:rPr>
              <w:t>3. Spread rock over the fabric in the direction of traffic</w:t>
            </w:r>
            <w:r>
              <w:rPr>
                <w:szCs w:val="18"/>
              </w:rPr>
              <w:tab/>
            </w:r>
            <w:r>
              <w:rPr>
                <w:szCs w:val="18"/>
              </w:rPr>
              <w:tab/>
            </w:r>
            <w:r>
              <w:rPr>
                <w:szCs w:val="18"/>
              </w:rPr>
              <w:tab/>
            </w:r>
            <w:r w:rsidRPr="00483BC0">
              <w:rPr>
                <w:szCs w:val="18"/>
              </w:rPr>
              <w:t>4. Cover the fabric with rock within 24 hours</w:t>
            </w:r>
          </w:p>
          <w:p w:rsidR="00536352" w:rsidRPr="00483BC0" w:rsidRDefault="00536352" w:rsidP="00536352">
            <w:pPr>
              <w:ind w:left="72"/>
              <w:rPr>
                <w:szCs w:val="18"/>
              </w:rPr>
            </w:pPr>
            <w:r w:rsidRPr="00483BC0">
              <w:rPr>
                <w:szCs w:val="18"/>
              </w:rPr>
              <w:t>5. Keep a 6-inch layer of rock over the fabric to prevent damage from spreading equipment</w:t>
            </w:r>
          </w:p>
          <w:p w:rsidR="00536352" w:rsidRPr="00483BC0" w:rsidRDefault="00536352" w:rsidP="00536352">
            <w:pPr>
              <w:ind w:left="72"/>
              <w:rPr>
                <w:szCs w:val="18"/>
              </w:rPr>
            </w:pPr>
            <w:r w:rsidRPr="00483BC0">
              <w:rPr>
                <w:szCs w:val="18"/>
              </w:rPr>
              <w:t>Do not drive on the fabric until the rock is spread.</w:t>
            </w:r>
          </w:p>
          <w:p w:rsidR="00536352" w:rsidRPr="00E332F4" w:rsidRDefault="00536352" w:rsidP="00111F07">
            <w:pPr>
              <w:ind w:left="72"/>
              <w:rPr>
                <w:szCs w:val="18"/>
              </w:rPr>
            </w:pPr>
            <w:r w:rsidRPr="00483BC0">
              <w:rPr>
                <w:szCs w:val="18"/>
              </w:rPr>
              <w:t>Repair fabric damaged during rock spreading by placing new fabric over the damaged area. The new fabric must be large enough to cover the damaged area and provide at least an 18-inch overlap on all edges.</w:t>
            </w:r>
          </w:p>
        </w:tc>
      </w:tr>
    </w:tbl>
    <w:p w:rsidR="008A6150" w:rsidRPr="001109EC" w:rsidRDefault="008A6150" w:rsidP="008A6150">
      <w:pPr>
        <w:spacing w:after="0"/>
        <w:ind w:left="72"/>
        <w:jc w:val="center"/>
      </w:pPr>
    </w:p>
    <w:tbl>
      <w:tblPr>
        <w:tblStyle w:val="TableGrid"/>
        <w:tblW w:w="14688" w:type="dxa"/>
        <w:tblLook w:val="04A0" w:firstRow="1" w:lastRow="0" w:firstColumn="1" w:lastColumn="0" w:noHBand="0" w:noVBand="1"/>
      </w:tblPr>
      <w:tblGrid>
        <w:gridCol w:w="2718"/>
        <w:gridCol w:w="11970"/>
      </w:tblGrid>
      <w:tr w:rsidR="00BA0779" w:rsidRPr="00B55F29" w:rsidTr="00825FFB">
        <w:trPr>
          <w:trHeight w:val="288"/>
        </w:trPr>
        <w:tc>
          <w:tcPr>
            <w:tcW w:w="2718" w:type="dxa"/>
            <w:noWrap/>
            <w:vAlign w:val="center"/>
          </w:tcPr>
          <w:p w:rsidR="00BA0779" w:rsidRPr="00435CE3" w:rsidRDefault="00BA0779" w:rsidP="00435CE3">
            <w:pPr>
              <w:jc w:val="center"/>
              <w:rPr>
                <w:b/>
              </w:rPr>
            </w:pPr>
          </w:p>
        </w:tc>
        <w:tc>
          <w:tcPr>
            <w:tcW w:w="11970" w:type="dxa"/>
            <w:vAlign w:val="center"/>
          </w:tcPr>
          <w:p w:rsidR="00BA0779" w:rsidRPr="0062540E" w:rsidRDefault="00BA0779" w:rsidP="00BA0779">
            <w:pPr>
              <w:ind w:left="72"/>
              <w:rPr>
                <w:b/>
              </w:rPr>
            </w:pPr>
            <w:r w:rsidRPr="00B55F29">
              <w:rPr>
                <w:b/>
                <w:bCs/>
                <w:szCs w:val="18"/>
              </w:rPr>
              <w:t>Materials</w:t>
            </w:r>
          </w:p>
        </w:tc>
      </w:tr>
      <w:tr w:rsidR="00BA0779" w:rsidRPr="00B55F29" w:rsidTr="00825FFB">
        <w:trPr>
          <w:trHeight w:val="288"/>
        </w:trPr>
        <w:tc>
          <w:tcPr>
            <w:tcW w:w="2718" w:type="dxa"/>
            <w:shd w:val="clear" w:color="auto" w:fill="F2F2F2" w:themeFill="background1" w:themeFillShade="F2"/>
            <w:noWrap/>
            <w:vAlign w:val="center"/>
          </w:tcPr>
          <w:p w:rsidR="00BA0779" w:rsidRPr="00BA0779" w:rsidRDefault="00111F07" w:rsidP="0019589D">
            <w:pPr>
              <w:jc w:val="center"/>
              <w:rPr>
                <w:b/>
              </w:rPr>
            </w:pPr>
            <w:r>
              <w:rPr>
                <w:b/>
              </w:rPr>
              <w:t>TC</w:t>
            </w:r>
            <w:r w:rsidR="0019589D">
              <w:rPr>
                <w:b/>
              </w:rPr>
              <w:t>2</w:t>
            </w:r>
            <w:r w:rsidR="004D05B4">
              <w:rPr>
                <w:b/>
              </w:rPr>
              <w:t>.3</w:t>
            </w:r>
          </w:p>
        </w:tc>
        <w:tc>
          <w:tcPr>
            <w:tcW w:w="11970" w:type="dxa"/>
            <w:shd w:val="clear" w:color="auto" w:fill="F2F2F2" w:themeFill="background1" w:themeFillShade="F2"/>
            <w:vAlign w:val="center"/>
          </w:tcPr>
          <w:p w:rsidR="00BA0779" w:rsidRPr="00BA0779" w:rsidRDefault="008D177D" w:rsidP="0019589D">
            <w:pPr>
              <w:ind w:left="72"/>
              <w:rPr>
                <w:b/>
              </w:rPr>
            </w:pPr>
            <w:r>
              <w:rPr>
                <w:b/>
              </w:rPr>
              <w:t>Doe</w:t>
            </w:r>
            <w:r w:rsidR="002F7591">
              <w:rPr>
                <w:b/>
              </w:rPr>
              <w:t>s the Temporary Con</w:t>
            </w:r>
            <w:r w:rsidR="00111F07">
              <w:rPr>
                <w:b/>
              </w:rPr>
              <w:t xml:space="preserve">struction </w:t>
            </w:r>
            <w:r w:rsidR="0019589D">
              <w:rPr>
                <w:b/>
              </w:rPr>
              <w:t>Roadway</w:t>
            </w:r>
            <w:r w:rsidR="002F7591">
              <w:rPr>
                <w:b/>
              </w:rPr>
              <w:t xml:space="preserve"> </w:t>
            </w:r>
            <w:r>
              <w:rPr>
                <w:b/>
              </w:rPr>
              <w:t>consist</w:t>
            </w:r>
            <w:r w:rsidR="002F7591">
              <w:rPr>
                <w:b/>
              </w:rPr>
              <w:t xml:space="preserve"> of the correct materials</w:t>
            </w:r>
            <w:r w:rsidR="00BA0779" w:rsidRPr="00BA0779">
              <w:rPr>
                <w:b/>
              </w:rPr>
              <w:t>?</w:t>
            </w:r>
          </w:p>
        </w:tc>
      </w:tr>
      <w:tr w:rsidR="00111F07" w:rsidRPr="00E332F4" w:rsidTr="00825FFB">
        <w:trPr>
          <w:cantSplit/>
        </w:trPr>
        <w:tc>
          <w:tcPr>
            <w:tcW w:w="2718" w:type="dxa"/>
            <w:vAlign w:val="center"/>
          </w:tcPr>
          <w:p w:rsidR="00111F07" w:rsidRPr="0007355F" w:rsidRDefault="00111F07" w:rsidP="00111F07">
            <w:pPr>
              <w:jc w:val="center"/>
              <w:rPr>
                <w:b/>
                <w:szCs w:val="18"/>
              </w:rPr>
            </w:pPr>
            <w:r w:rsidRPr="0007355F">
              <w:rPr>
                <w:b/>
                <w:szCs w:val="18"/>
              </w:rPr>
              <w:t>SPECs, 13-7.02A  General</w:t>
            </w:r>
          </w:p>
        </w:tc>
        <w:tc>
          <w:tcPr>
            <w:tcW w:w="11970" w:type="dxa"/>
            <w:vAlign w:val="center"/>
          </w:tcPr>
          <w:p w:rsidR="00111F07" w:rsidRPr="00E332F4" w:rsidRDefault="00111F07" w:rsidP="0019589D">
            <w:pPr>
              <w:ind w:left="72"/>
              <w:rPr>
                <w:szCs w:val="18"/>
              </w:rPr>
            </w:pPr>
            <w:r w:rsidRPr="00483BC0">
              <w:rPr>
                <w:szCs w:val="18"/>
              </w:rPr>
              <w:t xml:space="preserve">Fabric for a temporary construction entrance must be rock slope protection fabric, Class </w:t>
            </w:r>
            <w:r w:rsidR="0019589D">
              <w:rPr>
                <w:szCs w:val="18"/>
              </w:rPr>
              <w:t>10</w:t>
            </w:r>
            <w:r w:rsidRPr="00483BC0">
              <w:rPr>
                <w:szCs w:val="18"/>
              </w:rPr>
              <w:t>.</w:t>
            </w:r>
          </w:p>
        </w:tc>
      </w:tr>
      <w:tr w:rsidR="00111F07" w:rsidRPr="00E332F4" w:rsidTr="00825FFB">
        <w:tc>
          <w:tcPr>
            <w:tcW w:w="2718" w:type="dxa"/>
            <w:vAlign w:val="center"/>
          </w:tcPr>
          <w:p w:rsidR="00111F07" w:rsidRPr="0007355F" w:rsidRDefault="00111F07" w:rsidP="00111F07">
            <w:pPr>
              <w:jc w:val="center"/>
              <w:rPr>
                <w:b/>
                <w:szCs w:val="18"/>
              </w:rPr>
            </w:pPr>
            <w:r w:rsidRPr="0007355F">
              <w:rPr>
                <w:b/>
                <w:szCs w:val="18"/>
              </w:rPr>
              <w:t>SPECs, 13-7.02B  Rock</w:t>
            </w:r>
          </w:p>
        </w:tc>
        <w:tc>
          <w:tcPr>
            <w:tcW w:w="11970" w:type="dxa"/>
            <w:vAlign w:val="center"/>
          </w:tcPr>
          <w:p w:rsidR="00111F07" w:rsidRPr="00483BC0" w:rsidRDefault="00111F07" w:rsidP="00111F07">
            <w:pPr>
              <w:ind w:left="72"/>
              <w:rPr>
                <w:szCs w:val="18"/>
              </w:rPr>
            </w:pPr>
            <w:r w:rsidRPr="00483BC0">
              <w:rPr>
                <w:szCs w:val="18"/>
              </w:rPr>
              <w:t>Type A rock must comply with:</w:t>
            </w:r>
          </w:p>
          <w:p w:rsidR="00111F07" w:rsidRDefault="00111F07" w:rsidP="00111F07">
            <w:pPr>
              <w:ind w:left="72"/>
              <w:rPr>
                <w:szCs w:val="18"/>
              </w:rPr>
            </w:pPr>
            <w:r w:rsidRPr="00483BC0">
              <w:rPr>
                <w:szCs w:val="18"/>
              </w:rPr>
              <w:t>2. Sizes shown in the following table:</w:t>
            </w:r>
            <w:bookmarkStart w:id="0" w:name="_GoBack"/>
            <w:bookmarkEnd w:id="0"/>
          </w:p>
          <w:tbl>
            <w:tblPr>
              <w:tblW w:w="8603" w:type="dxa"/>
              <w:tblInd w:w="67" w:type="dxa"/>
              <w:tblLook w:val="04A0" w:firstRow="1" w:lastRow="0" w:firstColumn="1" w:lastColumn="0" w:noHBand="0" w:noVBand="1"/>
            </w:tblPr>
            <w:tblGrid>
              <w:gridCol w:w="2753"/>
              <w:gridCol w:w="3240"/>
              <w:gridCol w:w="2610"/>
            </w:tblGrid>
            <w:tr w:rsidR="00111F07" w:rsidRPr="00483BC0" w:rsidTr="00831647">
              <w:tc>
                <w:tcPr>
                  <w:tcW w:w="2753" w:type="dxa"/>
                  <w:tcBorders>
                    <w:top w:val="single" w:sz="4" w:space="0" w:color="auto"/>
                    <w:left w:val="single" w:sz="4" w:space="0" w:color="auto"/>
                    <w:bottom w:val="single" w:sz="4" w:space="0" w:color="auto"/>
                    <w:right w:val="single" w:sz="4" w:space="0" w:color="auto"/>
                  </w:tcBorders>
                  <w:shd w:val="clear" w:color="auto" w:fill="auto"/>
                  <w:hideMark/>
                </w:tcPr>
                <w:p w:rsidR="00111F07" w:rsidRPr="00A14EAE" w:rsidRDefault="00111F07" w:rsidP="00111F07">
                  <w:pPr>
                    <w:spacing w:after="0" w:line="240" w:lineRule="auto"/>
                    <w:ind w:left="72"/>
                    <w:jc w:val="center"/>
                    <w:rPr>
                      <w:rFonts w:eastAsia="Times New Roman" w:cs="Arial"/>
                      <w:b/>
                      <w:color w:val="000000"/>
                      <w:szCs w:val="18"/>
                    </w:rPr>
                  </w:pPr>
                  <w:r w:rsidRPr="00A14EAE">
                    <w:rPr>
                      <w:rFonts w:eastAsia="Times New Roman" w:cs="Arial"/>
                      <w:b/>
                      <w:color w:val="000000"/>
                      <w:szCs w:val="18"/>
                    </w:rPr>
                    <w:t>Square screen size (inch)</w:t>
                  </w:r>
                </w:p>
              </w:tc>
              <w:tc>
                <w:tcPr>
                  <w:tcW w:w="3240" w:type="dxa"/>
                  <w:tcBorders>
                    <w:top w:val="single" w:sz="4" w:space="0" w:color="auto"/>
                    <w:left w:val="nil"/>
                    <w:bottom w:val="single" w:sz="4" w:space="0" w:color="auto"/>
                    <w:right w:val="single" w:sz="4" w:space="0" w:color="auto"/>
                  </w:tcBorders>
                  <w:shd w:val="clear" w:color="auto" w:fill="auto"/>
                  <w:hideMark/>
                </w:tcPr>
                <w:p w:rsidR="00111F07" w:rsidRPr="00A14EAE" w:rsidRDefault="00111F07" w:rsidP="00111F07">
                  <w:pPr>
                    <w:spacing w:after="0" w:line="240" w:lineRule="auto"/>
                    <w:ind w:left="72"/>
                    <w:jc w:val="center"/>
                    <w:rPr>
                      <w:rFonts w:eastAsia="Times New Roman" w:cs="Arial"/>
                      <w:b/>
                      <w:color w:val="000000"/>
                      <w:szCs w:val="18"/>
                    </w:rPr>
                  </w:pPr>
                  <w:r w:rsidRPr="00A14EAE">
                    <w:rPr>
                      <w:rFonts w:eastAsia="Times New Roman" w:cs="Arial"/>
                      <w:b/>
                      <w:color w:val="000000"/>
                      <w:szCs w:val="18"/>
                    </w:rPr>
                    <w:t>Percentage passing</w:t>
                  </w:r>
                </w:p>
              </w:tc>
              <w:tc>
                <w:tcPr>
                  <w:tcW w:w="2610" w:type="dxa"/>
                  <w:tcBorders>
                    <w:top w:val="single" w:sz="4" w:space="0" w:color="auto"/>
                    <w:left w:val="nil"/>
                    <w:bottom w:val="single" w:sz="4" w:space="0" w:color="auto"/>
                    <w:right w:val="single" w:sz="4" w:space="0" w:color="auto"/>
                  </w:tcBorders>
                  <w:shd w:val="clear" w:color="auto" w:fill="auto"/>
                  <w:hideMark/>
                </w:tcPr>
                <w:p w:rsidR="00111F07" w:rsidRPr="00A14EAE" w:rsidRDefault="00111F07" w:rsidP="00111F07">
                  <w:pPr>
                    <w:spacing w:after="0" w:line="240" w:lineRule="auto"/>
                    <w:ind w:left="72"/>
                    <w:jc w:val="center"/>
                    <w:rPr>
                      <w:rFonts w:eastAsia="Times New Roman" w:cs="Arial"/>
                      <w:b/>
                      <w:color w:val="000000"/>
                      <w:szCs w:val="18"/>
                    </w:rPr>
                  </w:pPr>
                  <w:r w:rsidRPr="00A14EAE">
                    <w:rPr>
                      <w:rFonts w:eastAsia="Times New Roman" w:cs="Arial"/>
                      <w:b/>
                      <w:color w:val="000000"/>
                      <w:szCs w:val="18"/>
                    </w:rPr>
                    <w:t>Percentage retained</w:t>
                  </w:r>
                </w:p>
              </w:tc>
            </w:tr>
            <w:tr w:rsidR="00111F07" w:rsidRPr="00483BC0" w:rsidTr="00831647">
              <w:tc>
                <w:tcPr>
                  <w:tcW w:w="2753" w:type="dxa"/>
                  <w:tcBorders>
                    <w:top w:val="nil"/>
                    <w:left w:val="single" w:sz="4" w:space="0" w:color="auto"/>
                    <w:bottom w:val="single" w:sz="4" w:space="0" w:color="auto"/>
                    <w:right w:val="single" w:sz="4" w:space="0" w:color="auto"/>
                  </w:tcBorders>
                  <w:shd w:val="clear" w:color="auto" w:fill="auto"/>
                  <w:hideMark/>
                </w:tcPr>
                <w:p w:rsidR="00111F07" w:rsidRPr="00483BC0" w:rsidRDefault="00111F07" w:rsidP="00111F07">
                  <w:pPr>
                    <w:spacing w:after="0" w:line="240" w:lineRule="auto"/>
                    <w:ind w:left="72"/>
                    <w:jc w:val="center"/>
                    <w:rPr>
                      <w:rFonts w:eastAsia="Times New Roman" w:cs="Arial"/>
                      <w:color w:val="000000"/>
                      <w:szCs w:val="18"/>
                    </w:rPr>
                  </w:pPr>
                  <w:r w:rsidRPr="00483BC0">
                    <w:rPr>
                      <w:rFonts w:eastAsia="Times New Roman" w:cs="Arial"/>
                      <w:color w:val="000000"/>
                      <w:szCs w:val="18"/>
                    </w:rPr>
                    <w:t>6</w:t>
                  </w:r>
                </w:p>
              </w:tc>
              <w:tc>
                <w:tcPr>
                  <w:tcW w:w="3240" w:type="dxa"/>
                  <w:tcBorders>
                    <w:top w:val="single" w:sz="4" w:space="0" w:color="auto"/>
                    <w:left w:val="nil"/>
                    <w:bottom w:val="single" w:sz="4" w:space="0" w:color="auto"/>
                    <w:right w:val="single" w:sz="4" w:space="0" w:color="auto"/>
                  </w:tcBorders>
                  <w:shd w:val="clear" w:color="auto" w:fill="auto"/>
                  <w:hideMark/>
                </w:tcPr>
                <w:p w:rsidR="00111F07" w:rsidRPr="00483BC0" w:rsidRDefault="00111F07" w:rsidP="00111F07">
                  <w:pPr>
                    <w:spacing w:after="0" w:line="240" w:lineRule="auto"/>
                    <w:ind w:left="72"/>
                    <w:jc w:val="center"/>
                    <w:rPr>
                      <w:rFonts w:eastAsia="Times New Roman" w:cs="Arial"/>
                      <w:color w:val="000000"/>
                      <w:szCs w:val="18"/>
                    </w:rPr>
                  </w:pPr>
                  <w:r w:rsidRPr="00483BC0">
                    <w:rPr>
                      <w:rFonts w:eastAsia="Times New Roman" w:cs="Arial"/>
                      <w:color w:val="000000"/>
                      <w:szCs w:val="18"/>
                    </w:rPr>
                    <w:t>100</w:t>
                  </w:r>
                </w:p>
              </w:tc>
              <w:tc>
                <w:tcPr>
                  <w:tcW w:w="2610" w:type="dxa"/>
                  <w:tcBorders>
                    <w:top w:val="single" w:sz="4" w:space="0" w:color="auto"/>
                    <w:left w:val="nil"/>
                    <w:bottom w:val="single" w:sz="4" w:space="0" w:color="auto"/>
                    <w:right w:val="single" w:sz="4" w:space="0" w:color="auto"/>
                  </w:tcBorders>
                  <w:shd w:val="clear" w:color="auto" w:fill="auto"/>
                  <w:hideMark/>
                </w:tcPr>
                <w:p w:rsidR="00111F07" w:rsidRPr="00483BC0" w:rsidRDefault="00111F07" w:rsidP="00111F07">
                  <w:pPr>
                    <w:spacing w:after="0" w:line="240" w:lineRule="auto"/>
                    <w:ind w:left="72"/>
                    <w:jc w:val="center"/>
                    <w:rPr>
                      <w:rFonts w:eastAsia="Times New Roman" w:cs="Arial"/>
                      <w:color w:val="000000"/>
                      <w:szCs w:val="18"/>
                    </w:rPr>
                  </w:pPr>
                  <w:r w:rsidRPr="00483BC0">
                    <w:rPr>
                      <w:rFonts w:eastAsia="Times New Roman" w:cs="Arial"/>
                      <w:color w:val="000000"/>
                      <w:szCs w:val="18"/>
                    </w:rPr>
                    <w:t>0</w:t>
                  </w:r>
                </w:p>
              </w:tc>
            </w:tr>
            <w:tr w:rsidR="00111F07" w:rsidRPr="00483BC0" w:rsidTr="00831647">
              <w:tc>
                <w:tcPr>
                  <w:tcW w:w="2753" w:type="dxa"/>
                  <w:tcBorders>
                    <w:top w:val="nil"/>
                    <w:left w:val="single" w:sz="4" w:space="0" w:color="auto"/>
                    <w:bottom w:val="single" w:sz="4" w:space="0" w:color="auto"/>
                    <w:right w:val="single" w:sz="4" w:space="0" w:color="auto"/>
                  </w:tcBorders>
                  <w:shd w:val="clear" w:color="auto" w:fill="auto"/>
                  <w:hideMark/>
                </w:tcPr>
                <w:p w:rsidR="00111F07" w:rsidRPr="00483BC0" w:rsidRDefault="00111F07" w:rsidP="00111F07">
                  <w:pPr>
                    <w:spacing w:after="0" w:line="240" w:lineRule="auto"/>
                    <w:ind w:left="72"/>
                    <w:jc w:val="center"/>
                    <w:rPr>
                      <w:rFonts w:eastAsia="Times New Roman" w:cs="Arial"/>
                      <w:color w:val="000000"/>
                      <w:szCs w:val="18"/>
                    </w:rPr>
                  </w:pPr>
                  <w:r w:rsidRPr="00483BC0">
                    <w:rPr>
                      <w:rFonts w:eastAsia="Times New Roman" w:cs="Arial"/>
                      <w:color w:val="000000"/>
                      <w:szCs w:val="18"/>
                    </w:rPr>
                    <w:t>3</w:t>
                  </w:r>
                </w:p>
              </w:tc>
              <w:tc>
                <w:tcPr>
                  <w:tcW w:w="3240" w:type="dxa"/>
                  <w:tcBorders>
                    <w:top w:val="single" w:sz="4" w:space="0" w:color="auto"/>
                    <w:left w:val="nil"/>
                    <w:bottom w:val="single" w:sz="4" w:space="0" w:color="auto"/>
                    <w:right w:val="single" w:sz="4" w:space="0" w:color="auto"/>
                  </w:tcBorders>
                  <w:shd w:val="clear" w:color="auto" w:fill="auto"/>
                  <w:hideMark/>
                </w:tcPr>
                <w:p w:rsidR="00111F07" w:rsidRPr="00483BC0" w:rsidRDefault="00111F07" w:rsidP="00111F07">
                  <w:pPr>
                    <w:spacing w:after="0" w:line="240" w:lineRule="auto"/>
                    <w:ind w:left="72"/>
                    <w:jc w:val="center"/>
                    <w:rPr>
                      <w:rFonts w:eastAsia="Times New Roman" w:cs="Arial"/>
                      <w:color w:val="000000"/>
                      <w:szCs w:val="18"/>
                    </w:rPr>
                  </w:pPr>
                  <w:r w:rsidRPr="00483BC0">
                    <w:rPr>
                      <w:rFonts w:eastAsia="Times New Roman" w:cs="Arial"/>
                      <w:color w:val="000000"/>
                      <w:szCs w:val="18"/>
                    </w:rPr>
                    <w:t>0</w:t>
                  </w:r>
                </w:p>
              </w:tc>
              <w:tc>
                <w:tcPr>
                  <w:tcW w:w="2610" w:type="dxa"/>
                  <w:tcBorders>
                    <w:top w:val="single" w:sz="4" w:space="0" w:color="auto"/>
                    <w:left w:val="nil"/>
                    <w:bottom w:val="single" w:sz="4" w:space="0" w:color="auto"/>
                    <w:right w:val="single" w:sz="4" w:space="0" w:color="auto"/>
                  </w:tcBorders>
                  <w:shd w:val="clear" w:color="auto" w:fill="auto"/>
                  <w:hideMark/>
                </w:tcPr>
                <w:p w:rsidR="00111F07" w:rsidRPr="00483BC0" w:rsidRDefault="00111F07" w:rsidP="00111F07">
                  <w:pPr>
                    <w:spacing w:after="0" w:line="240" w:lineRule="auto"/>
                    <w:ind w:left="72"/>
                    <w:jc w:val="center"/>
                    <w:rPr>
                      <w:rFonts w:eastAsia="Times New Roman" w:cs="Arial"/>
                      <w:color w:val="000000"/>
                      <w:szCs w:val="18"/>
                    </w:rPr>
                  </w:pPr>
                  <w:r w:rsidRPr="00483BC0">
                    <w:rPr>
                      <w:rFonts w:eastAsia="Times New Roman" w:cs="Arial"/>
                      <w:color w:val="000000"/>
                      <w:szCs w:val="18"/>
                    </w:rPr>
                    <w:t>100</w:t>
                  </w:r>
                </w:p>
              </w:tc>
            </w:tr>
          </w:tbl>
          <w:p w:rsidR="00111F07" w:rsidRPr="00483BC0" w:rsidRDefault="00111F07" w:rsidP="00111F07">
            <w:pPr>
              <w:ind w:left="72"/>
              <w:rPr>
                <w:szCs w:val="18"/>
              </w:rPr>
            </w:pPr>
            <w:r w:rsidRPr="00483BC0">
              <w:rPr>
                <w:szCs w:val="18"/>
              </w:rPr>
              <w:t>Type B rock must be railway ballast number 25. Do not use blast furnace slag. Railway ballast number 25 must comply with:</w:t>
            </w:r>
          </w:p>
          <w:p w:rsidR="00111F07" w:rsidRPr="00483BC0" w:rsidRDefault="00111F07" w:rsidP="00111F07">
            <w:pPr>
              <w:ind w:left="72"/>
              <w:rPr>
                <w:szCs w:val="18"/>
              </w:rPr>
            </w:pPr>
            <w:r w:rsidRPr="00483BC0">
              <w:rPr>
                <w:szCs w:val="18"/>
              </w:rPr>
              <w:t>1. Description in AREMA Manual for Railway Engineering</w:t>
            </w:r>
          </w:p>
          <w:p w:rsidR="00111F07" w:rsidRDefault="00111F07" w:rsidP="00111F07">
            <w:pPr>
              <w:ind w:left="72"/>
              <w:rPr>
                <w:szCs w:val="18"/>
              </w:rPr>
            </w:pPr>
            <w:r w:rsidRPr="00483BC0">
              <w:rPr>
                <w:szCs w:val="18"/>
              </w:rPr>
              <w:t>2. Sizes shown in the following table:</w:t>
            </w:r>
          </w:p>
          <w:tbl>
            <w:tblPr>
              <w:tblStyle w:val="TableGrid"/>
              <w:tblW w:w="3707" w:type="pct"/>
              <w:tblInd w:w="67" w:type="dxa"/>
              <w:tblLook w:val="04A0" w:firstRow="1" w:lastRow="0" w:firstColumn="1" w:lastColumn="0" w:noHBand="0" w:noVBand="1"/>
            </w:tblPr>
            <w:tblGrid>
              <w:gridCol w:w="1540"/>
              <w:gridCol w:w="1270"/>
              <w:gridCol w:w="816"/>
              <w:gridCol w:w="726"/>
              <w:gridCol w:w="726"/>
              <w:gridCol w:w="816"/>
              <w:gridCol w:w="635"/>
              <w:gridCol w:w="635"/>
              <w:gridCol w:w="726"/>
              <w:gridCol w:w="817"/>
            </w:tblGrid>
            <w:tr w:rsidR="00111F07" w:rsidRPr="00BA2B63" w:rsidTr="00831647">
              <w:tc>
                <w:tcPr>
                  <w:tcW w:w="1541" w:type="dxa"/>
                  <w:vAlign w:val="center"/>
                  <w:hideMark/>
                </w:tcPr>
                <w:p w:rsidR="00111F07" w:rsidRPr="00A14EAE" w:rsidRDefault="00111F07" w:rsidP="0009175B">
                  <w:pPr>
                    <w:ind w:left="72"/>
                    <w:jc w:val="center"/>
                    <w:rPr>
                      <w:rFonts w:eastAsia="Times New Roman" w:cs="Arial"/>
                      <w:b/>
                      <w:color w:val="000000"/>
                      <w:szCs w:val="18"/>
                    </w:rPr>
                  </w:pPr>
                  <w:r w:rsidRPr="00A14EAE">
                    <w:rPr>
                      <w:rFonts w:eastAsia="Times New Roman" w:cs="Arial"/>
                      <w:b/>
                      <w:color w:val="000000"/>
                      <w:szCs w:val="18"/>
                    </w:rPr>
                    <w:t>Nominal size square opening</w:t>
                  </w:r>
                </w:p>
              </w:tc>
              <w:tc>
                <w:tcPr>
                  <w:tcW w:w="1270" w:type="dxa"/>
                  <w:vAlign w:val="center"/>
                  <w:hideMark/>
                </w:tcPr>
                <w:p w:rsidR="00111F07" w:rsidRPr="00A14EAE" w:rsidRDefault="00111F07" w:rsidP="0009175B">
                  <w:pPr>
                    <w:ind w:left="72"/>
                    <w:jc w:val="center"/>
                    <w:rPr>
                      <w:rFonts w:eastAsia="Times New Roman" w:cs="Arial"/>
                      <w:b/>
                      <w:color w:val="000000"/>
                      <w:szCs w:val="18"/>
                    </w:rPr>
                  </w:pPr>
                  <w:r w:rsidRPr="00A14EAE">
                    <w:rPr>
                      <w:rFonts w:eastAsia="Times New Roman" w:cs="Arial"/>
                      <w:b/>
                      <w:color w:val="000000"/>
                      <w:szCs w:val="18"/>
                    </w:rPr>
                    <w:t>Percentage passing</w:t>
                  </w:r>
                </w:p>
              </w:tc>
              <w:tc>
                <w:tcPr>
                  <w:tcW w:w="816" w:type="dxa"/>
                  <w:vAlign w:val="center"/>
                  <w:hideMark/>
                </w:tcPr>
                <w:p w:rsidR="00111F07" w:rsidRPr="00483BC0" w:rsidRDefault="00111F07" w:rsidP="0009175B">
                  <w:pPr>
                    <w:ind w:left="72"/>
                    <w:jc w:val="center"/>
                    <w:rPr>
                      <w:rFonts w:eastAsia="Times New Roman" w:cs="Arial"/>
                      <w:color w:val="000000"/>
                      <w:szCs w:val="18"/>
                    </w:rPr>
                  </w:pPr>
                </w:p>
              </w:tc>
              <w:tc>
                <w:tcPr>
                  <w:tcW w:w="726" w:type="dxa"/>
                  <w:vAlign w:val="center"/>
                  <w:hideMark/>
                </w:tcPr>
                <w:p w:rsidR="00111F07" w:rsidRPr="00483BC0" w:rsidRDefault="00111F07" w:rsidP="0009175B">
                  <w:pPr>
                    <w:ind w:left="72"/>
                    <w:jc w:val="center"/>
                    <w:rPr>
                      <w:rFonts w:eastAsia="Times New Roman" w:cs="Arial"/>
                      <w:color w:val="000000"/>
                      <w:szCs w:val="18"/>
                    </w:rPr>
                  </w:pPr>
                </w:p>
              </w:tc>
              <w:tc>
                <w:tcPr>
                  <w:tcW w:w="726" w:type="dxa"/>
                  <w:vAlign w:val="center"/>
                  <w:hideMark/>
                </w:tcPr>
                <w:p w:rsidR="00111F07" w:rsidRPr="00483BC0" w:rsidRDefault="00111F07" w:rsidP="0009175B">
                  <w:pPr>
                    <w:ind w:left="72"/>
                    <w:jc w:val="center"/>
                    <w:rPr>
                      <w:rFonts w:eastAsia="Times New Roman" w:cs="Arial"/>
                      <w:color w:val="000000"/>
                      <w:szCs w:val="18"/>
                    </w:rPr>
                  </w:pPr>
                </w:p>
              </w:tc>
              <w:tc>
                <w:tcPr>
                  <w:tcW w:w="816" w:type="dxa"/>
                  <w:vAlign w:val="center"/>
                  <w:hideMark/>
                </w:tcPr>
                <w:p w:rsidR="00111F07" w:rsidRPr="00483BC0" w:rsidRDefault="00111F07" w:rsidP="0009175B">
                  <w:pPr>
                    <w:ind w:left="72"/>
                    <w:jc w:val="center"/>
                    <w:rPr>
                      <w:rFonts w:eastAsia="Times New Roman" w:cs="Arial"/>
                      <w:color w:val="000000"/>
                      <w:szCs w:val="18"/>
                    </w:rPr>
                  </w:pPr>
                </w:p>
              </w:tc>
              <w:tc>
                <w:tcPr>
                  <w:tcW w:w="635" w:type="dxa"/>
                  <w:vAlign w:val="center"/>
                  <w:hideMark/>
                </w:tcPr>
                <w:p w:rsidR="00111F07" w:rsidRPr="00483BC0" w:rsidRDefault="00111F07" w:rsidP="0009175B">
                  <w:pPr>
                    <w:ind w:left="72"/>
                    <w:jc w:val="center"/>
                    <w:rPr>
                      <w:rFonts w:eastAsia="Times New Roman" w:cs="Arial"/>
                      <w:color w:val="000000"/>
                      <w:szCs w:val="18"/>
                    </w:rPr>
                  </w:pPr>
                </w:p>
              </w:tc>
              <w:tc>
                <w:tcPr>
                  <w:tcW w:w="635" w:type="dxa"/>
                  <w:vAlign w:val="center"/>
                  <w:hideMark/>
                </w:tcPr>
                <w:p w:rsidR="00111F07" w:rsidRPr="00483BC0" w:rsidRDefault="00111F07" w:rsidP="0009175B">
                  <w:pPr>
                    <w:ind w:left="72"/>
                    <w:jc w:val="center"/>
                    <w:rPr>
                      <w:rFonts w:eastAsia="Times New Roman" w:cs="Arial"/>
                      <w:color w:val="000000"/>
                      <w:szCs w:val="18"/>
                    </w:rPr>
                  </w:pPr>
                </w:p>
              </w:tc>
              <w:tc>
                <w:tcPr>
                  <w:tcW w:w="726" w:type="dxa"/>
                  <w:vAlign w:val="center"/>
                  <w:hideMark/>
                </w:tcPr>
                <w:p w:rsidR="00111F07" w:rsidRPr="00483BC0" w:rsidRDefault="00111F07" w:rsidP="0009175B">
                  <w:pPr>
                    <w:ind w:left="72"/>
                    <w:jc w:val="center"/>
                    <w:rPr>
                      <w:rFonts w:eastAsia="Times New Roman" w:cs="Arial"/>
                      <w:color w:val="000000"/>
                      <w:szCs w:val="18"/>
                    </w:rPr>
                  </w:pPr>
                </w:p>
              </w:tc>
              <w:tc>
                <w:tcPr>
                  <w:tcW w:w="817" w:type="dxa"/>
                  <w:vAlign w:val="center"/>
                  <w:hideMark/>
                </w:tcPr>
                <w:p w:rsidR="00111F07" w:rsidRPr="00483BC0" w:rsidRDefault="00111F07" w:rsidP="0009175B">
                  <w:pPr>
                    <w:ind w:left="72"/>
                    <w:jc w:val="center"/>
                    <w:rPr>
                      <w:rFonts w:eastAsia="Times New Roman" w:cs="Arial"/>
                      <w:color w:val="000000"/>
                      <w:szCs w:val="18"/>
                    </w:rPr>
                  </w:pPr>
                </w:p>
              </w:tc>
            </w:tr>
            <w:tr w:rsidR="00111F07" w:rsidRPr="00BA2B63" w:rsidTr="00831647">
              <w:tc>
                <w:tcPr>
                  <w:tcW w:w="1541" w:type="dxa"/>
                  <w:vAlign w:val="center"/>
                  <w:hideMark/>
                </w:tcPr>
                <w:p w:rsidR="00111F07" w:rsidRPr="00483BC0" w:rsidRDefault="00111F07" w:rsidP="0009175B">
                  <w:pPr>
                    <w:ind w:left="72"/>
                    <w:jc w:val="center"/>
                    <w:rPr>
                      <w:rFonts w:eastAsia="Times New Roman" w:cs="Arial"/>
                      <w:color w:val="000000"/>
                      <w:szCs w:val="18"/>
                    </w:rPr>
                  </w:pPr>
                </w:p>
              </w:tc>
              <w:tc>
                <w:tcPr>
                  <w:tcW w:w="1270"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3"</w:t>
                  </w:r>
                </w:p>
              </w:tc>
              <w:tc>
                <w:tcPr>
                  <w:tcW w:w="816"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2-1/2"</w:t>
                  </w:r>
                </w:p>
              </w:tc>
              <w:tc>
                <w:tcPr>
                  <w:tcW w:w="726"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2"</w:t>
                  </w:r>
                </w:p>
              </w:tc>
              <w:tc>
                <w:tcPr>
                  <w:tcW w:w="726"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1-1/2"</w:t>
                  </w:r>
                </w:p>
              </w:tc>
              <w:tc>
                <w:tcPr>
                  <w:tcW w:w="816"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1"</w:t>
                  </w:r>
                </w:p>
              </w:tc>
              <w:tc>
                <w:tcPr>
                  <w:tcW w:w="635"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3/4"</w:t>
                  </w:r>
                </w:p>
              </w:tc>
              <w:tc>
                <w:tcPr>
                  <w:tcW w:w="635"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1/2"</w:t>
                  </w:r>
                </w:p>
              </w:tc>
              <w:tc>
                <w:tcPr>
                  <w:tcW w:w="726"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3/8"</w:t>
                  </w:r>
                </w:p>
              </w:tc>
              <w:tc>
                <w:tcPr>
                  <w:tcW w:w="817"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No. 4</w:t>
                  </w:r>
                </w:p>
              </w:tc>
            </w:tr>
            <w:tr w:rsidR="00111F07" w:rsidRPr="00BA2B63" w:rsidTr="00831647">
              <w:tc>
                <w:tcPr>
                  <w:tcW w:w="1541"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2-1/2"–3/8"</w:t>
                  </w:r>
                </w:p>
              </w:tc>
              <w:tc>
                <w:tcPr>
                  <w:tcW w:w="1270"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100</w:t>
                  </w:r>
                </w:p>
              </w:tc>
              <w:tc>
                <w:tcPr>
                  <w:tcW w:w="816"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80–100</w:t>
                  </w:r>
                </w:p>
              </w:tc>
              <w:tc>
                <w:tcPr>
                  <w:tcW w:w="726"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60–85</w:t>
                  </w:r>
                </w:p>
              </w:tc>
              <w:tc>
                <w:tcPr>
                  <w:tcW w:w="726"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50–70</w:t>
                  </w:r>
                </w:p>
              </w:tc>
              <w:tc>
                <w:tcPr>
                  <w:tcW w:w="816"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25–50</w:t>
                  </w:r>
                </w:p>
              </w:tc>
              <w:tc>
                <w:tcPr>
                  <w:tcW w:w="635"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w:t>
                  </w:r>
                </w:p>
              </w:tc>
              <w:tc>
                <w:tcPr>
                  <w:tcW w:w="635"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5–20</w:t>
                  </w:r>
                </w:p>
              </w:tc>
              <w:tc>
                <w:tcPr>
                  <w:tcW w:w="726"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0–10</w:t>
                  </w:r>
                </w:p>
              </w:tc>
              <w:tc>
                <w:tcPr>
                  <w:tcW w:w="817" w:type="dxa"/>
                  <w:vAlign w:val="center"/>
                  <w:hideMark/>
                </w:tcPr>
                <w:p w:rsidR="00111F07" w:rsidRPr="00483BC0" w:rsidRDefault="00111F07" w:rsidP="0009175B">
                  <w:pPr>
                    <w:ind w:left="72"/>
                    <w:jc w:val="center"/>
                    <w:rPr>
                      <w:rFonts w:eastAsia="Times New Roman" w:cs="Arial"/>
                      <w:color w:val="000000"/>
                      <w:szCs w:val="18"/>
                    </w:rPr>
                  </w:pPr>
                  <w:r w:rsidRPr="00483BC0">
                    <w:rPr>
                      <w:rFonts w:eastAsia="Times New Roman" w:cs="Arial"/>
                      <w:color w:val="000000"/>
                      <w:szCs w:val="18"/>
                    </w:rPr>
                    <w:t>0–3</w:t>
                  </w:r>
                </w:p>
              </w:tc>
            </w:tr>
          </w:tbl>
          <w:p w:rsidR="00111F07" w:rsidRPr="00E332F4" w:rsidRDefault="00111F07" w:rsidP="009F1967">
            <w:pPr>
              <w:rPr>
                <w:szCs w:val="18"/>
              </w:rPr>
            </w:pPr>
          </w:p>
        </w:tc>
      </w:tr>
    </w:tbl>
    <w:p w:rsidR="000122FE" w:rsidRPr="000122FE" w:rsidRDefault="000122FE" w:rsidP="000122FE">
      <w:pPr>
        <w:spacing w:after="0"/>
        <w:ind w:left="72"/>
        <w:jc w:val="center"/>
      </w:pPr>
    </w:p>
    <w:tbl>
      <w:tblPr>
        <w:tblStyle w:val="TableGrid"/>
        <w:tblW w:w="14688" w:type="dxa"/>
        <w:tblLook w:val="04A0" w:firstRow="1" w:lastRow="0" w:firstColumn="1" w:lastColumn="0" w:noHBand="0" w:noVBand="1"/>
      </w:tblPr>
      <w:tblGrid>
        <w:gridCol w:w="2718"/>
        <w:gridCol w:w="11970"/>
      </w:tblGrid>
      <w:tr w:rsidR="00BA0779" w:rsidRPr="00B55F29" w:rsidTr="00825FFB">
        <w:trPr>
          <w:trHeight w:val="288"/>
        </w:trPr>
        <w:tc>
          <w:tcPr>
            <w:tcW w:w="2718" w:type="dxa"/>
            <w:noWrap/>
            <w:vAlign w:val="center"/>
          </w:tcPr>
          <w:p w:rsidR="00BA0779" w:rsidRPr="00435CE3" w:rsidRDefault="00BA0779" w:rsidP="00435CE3">
            <w:pPr>
              <w:jc w:val="center"/>
              <w:rPr>
                <w:b/>
              </w:rPr>
            </w:pPr>
          </w:p>
        </w:tc>
        <w:tc>
          <w:tcPr>
            <w:tcW w:w="11970" w:type="dxa"/>
            <w:vAlign w:val="center"/>
          </w:tcPr>
          <w:p w:rsidR="00BA0779" w:rsidRPr="00B55F29" w:rsidRDefault="00BA0779" w:rsidP="00BA0779">
            <w:pPr>
              <w:ind w:left="72"/>
              <w:rPr>
                <w:b/>
                <w:bCs/>
                <w:szCs w:val="18"/>
              </w:rPr>
            </w:pPr>
            <w:r w:rsidRPr="00B55F29">
              <w:rPr>
                <w:b/>
                <w:bCs/>
                <w:szCs w:val="18"/>
              </w:rPr>
              <w:t>Maintenance</w:t>
            </w:r>
          </w:p>
        </w:tc>
      </w:tr>
      <w:tr w:rsidR="00BA0779" w:rsidRPr="00B55F29" w:rsidTr="00825FFB">
        <w:trPr>
          <w:trHeight w:val="288"/>
        </w:trPr>
        <w:tc>
          <w:tcPr>
            <w:tcW w:w="2718" w:type="dxa"/>
            <w:shd w:val="clear" w:color="auto" w:fill="F2F2F2" w:themeFill="background1" w:themeFillShade="F2"/>
            <w:noWrap/>
            <w:vAlign w:val="center"/>
          </w:tcPr>
          <w:p w:rsidR="00BA0779" w:rsidRPr="00BA0779" w:rsidRDefault="0019589D" w:rsidP="0019589D">
            <w:pPr>
              <w:jc w:val="center"/>
              <w:rPr>
                <w:b/>
              </w:rPr>
            </w:pPr>
            <w:r>
              <w:rPr>
                <w:b/>
              </w:rPr>
              <w:t>TC2</w:t>
            </w:r>
            <w:r w:rsidR="002F7591">
              <w:rPr>
                <w:b/>
              </w:rPr>
              <w:t>.4</w:t>
            </w:r>
          </w:p>
        </w:tc>
        <w:tc>
          <w:tcPr>
            <w:tcW w:w="11970" w:type="dxa"/>
            <w:shd w:val="clear" w:color="auto" w:fill="F2F2F2" w:themeFill="background1" w:themeFillShade="F2"/>
            <w:vAlign w:val="center"/>
          </w:tcPr>
          <w:p w:rsidR="00BA0779" w:rsidRPr="00BA0779" w:rsidRDefault="00BA0CD3" w:rsidP="0019589D">
            <w:pPr>
              <w:ind w:left="72"/>
              <w:rPr>
                <w:b/>
              </w:rPr>
            </w:pPr>
            <w:r>
              <w:rPr>
                <w:b/>
              </w:rPr>
              <w:t xml:space="preserve">Is the </w:t>
            </w:r>
            <w:r w:rsidR="00BC102E">
              <w:rPr>
                <w:b/>
              </w:rPr>
              <w:t>Temporary Con</w:t>
            </w:r>
            <w:r w:rsidR="00F67BC0">
              <w:rPr>
                <w:b/>
              </w:rPr>
              <w:t xml:space="preserve">struction </w:t>
            </w:r>
            <w:r w:rsidR="0019589D">
              <w:rPr>
                <w:b/>
              </w:rPr>
              <w:t>Roadway</w:t>
            </w:r>
            <w:r w:rsidR="00BC102E">
              <w:rPr>
                <w:b/>
              </w:rPr>
              <w:t xml:space="preserve"> </w:t>
            </w:r>
            <w:r w:rsidR="00BA0779" w:rsidRPr="00BA0779">
              <w:rPr>
                <w:b/>
              </w:rPr>
              <w:t xml:space="preserve">maintained </w:t>
            </w:r>
            <w:r w:rsidR="008D177D">
              <w:rPr>
                <w:b/>
              </w:rPr>
              <w:t>proper</w:t>
            </w:r>
            <w:r w:rsidR="00BA0779" w:rsidRPr="00BA0779">
              <w:rPr>
                <w:b/>
              </w:rPr>
              <w:t>ly?</w:t>
            </w:r>
          </w:p>
        </w:tc>
      </w:tr>
      <w:tr w:rsidR="00536352" w:rsidRPr="00BB4F30" w:rsidTr="00825FFB">
        <w:trPr>
          <w:cantSplit/>
        </w:trPr>
        <w:tc>
          <w:tcPr>
            <w:tcW w:w="2718" w:type="dxa"/>
            <w:vAlign w:val="center"/>
          </w:tcPr>
          <w:p w:rsidR="00536352" w:rsidRPr="0007355F" w:rsidRDefault="00536352" w:rsidP="009F1967">
            <w:pPr>
              <w:jc w:val="center"/>
              <w:rPr>
                <w:b/>
                <w:szCs w:val="18"/>
              </w:rPr>
            </w:pPr>
            <w:r w:rsidRPr="0007355F">
              <w:rPr>
                <w:b/>
                <w:szCs w:val="18"/>
              </w:rPr>
              <w:t>SPECs, 13-7.03A General</w:t>
            </w:r>
          </w:p>
        </w:tc>
        <w:tc>
          <w:tcPr>
            <w:tcW w:w="11970" w:type="dxa"/>
            <w:vAlign w:val="center"/>
          </w:tcPr>
          <w:p w:rsidR="00536352" w:rsidRPr="00483BC0" w:rsidRDefault="00536352" w:rsidP="009F1967">
            <w:pPr>
              <w:ind w:left="72"/>
              <w:rPr>
                <w:szCs w:val="18"/>
              </w:rPr>
            </w:pPr>
            <w:r w:rsidRPr="00483BC0">
              <w:rPr>
                <w:szCs w:val="18"/>
              </w:rPr>
              <w:t>Maintain a temporary construction entrance or roadway to minimize the generation of dust and tracking of soil and sediment onto public roads. Whenever dust or sediment tracking increases, place additional rock unless the Engineer authorizes another method."</w:t>
            </w:r>
          </w:p>
          <w:p w:rsidR="00536352" w:rsidRPr="00483BC0" w:rsidRDefault="00536352" w:rsidP="009F1967">
            <w:pPr>
              <w:ind w:left="72"/>
              <w:rPr>
                <w:szCs w:val="18"/>
              </w:rPr>
            </w:pPr>
            <w:r w:rsidRPr="00483BC0">
              <w:rPr>
                <w:szCs w:val="18"/>
              </w:rPr>
              <w:t>Repair a temporary construction entrance or roadway if:</w:t>
            </w:r>
          </w:p>
          <w:p w:rsidR="00536352" w:rsidRPr="00483BC0" w:rsidRDefault="00536352" w:rsidP="009F1967">
            <w:pPr>
              <w:ind w:left="72"/>
              <w:rPr>
                <w:szCs w:val="18"/>
              </w:rPr>
            </w:pPr>
            <w:r w:rsidRPr="00483BC0">
              <w:rPr>
                <w:szCs w:val="18"/>
              </w:rPr>
              <w:t>1. Fabric is exposed</w:t>
            </w:r>
            <w:r>
              <w:rPr>
                <w:szCs w:val="18"/>
              </w:rPr>
              <w:tab/>
            </w:r>
            <w:r>
              <w:rPr>
                <w:szCs w:val="18"/>
              </w:rPr>
              <w:tab/>
            </w:r>
            <w:r w:rsidRPr="00483BC0">
              <w:rPr>
                <w:szCs w:val="18"/>
              </w:rPr>
              <w:t>2. Depressions in the surface develop</w:t>
            </w:r>
            <w:r>
              <w:rPr>
                <w:szCs w:val="18"/>
              </w:rPr>
              <w:tab/>
            </w:r>
            <w:r>
              <w:rPr>
                <w:szCs w:val="18"/>
              </w:rPr>
              <w:tab/>
            </w:r>
            <w:r w:rsidRPr="00483BC0">
              <w:rPr>
                <w:szCs w:val="18"/>
              </w:rPr>
              <w:t>3. Rock is displaced</w:t>
            </w:r>
          </w:p>
          <w:p w:rsidR="00536352" w:rsidRPr="00E332F4" w:rsidRDefault="00536352" w:rsidP="009F1967">
            <w:pPr>
              <w:ind w:left="72"/>
              <w:rPr>
                <w:szCs w:val="18"/>
              </w:rPr>
            </w:pPr>
            <w:r w:rsidRPr="00483BC0">
              <w:rPr>
                <w:szCs w:val="18"/>
              </w:rPr>
              <w:t>When the temporary construction entrance or roadway is being used, do not allow soil, sediment, and other debris that is tracked onto the pavement to enter storm drains, open drainage facilities, and wat</w:t>
            </w:r>
            <w:r w:rsidR="00745D98">
              <w:rPr>
                <w:szCs w:val="18"/>
              </w:rPr>
              <w:t>ercourses.</w:t>
            </w:r>
          </w:p>
        </w:tc>
      </w:tr>
      <w:tr w:rsidR="006E4A7A" w:rsidRPr="00B55F29" w:rsidTr="00825FFB">
        <w:tc>
          <w:tcPr>
            <w:tcW w:w="2718" w:type="dxa"/>
            <w:vAlign w:val="center"/>
          </w:tcPr>
          <w:p w:rsidR="006E4A7A" w:rsidRPr="00AA06CC" w:rsidRDefault="009E5D32" w:rsidP="008D177D">
            <w:pPr>
              <w:jc w:val="center"/>
              <w:rPr>
                <w:b/>
              </w:rPr>
            </w:pPr>
            <w:r>
              <w:rPr>
                <w:b/>
              </w:rPr>
              <w:t xml:space="preserve">CGP, </w:t>
            </w:r>
            <w:r w:rsidR="006E4A7A" w:rsidRPr="00AA06CC">
              <w:rPr>
                <w:b/>
              </w:rPr>
              <w:t>Order IV.E</w:t>
            </w:r>
            <w:r w:rsidR="00696979">
              <w:rPr>
                <w:b/>
              </w:rPr>
              <w:t xml:space="preserve"> Proper Operation and Maintenance</w:t>
            </w:r>
          </w:p>
        </w:tc>
        <w:tc>
          <w:tcPr>
            <w:tcW w:w="1197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B25A6A" w:rsidRPr="0009175B" w:rsidRDefault="00B25A6A" w:rsidP="0019589D">
      <w:pPr>
        <w:jc w:val="center"/>
        <w:rPr>
          <w:sz w:val="16"/>
          <w:szCs w:val="16"/>
        </w:rPr>
      </w:pPr>
    </w:p>
    <w:sectPr w:rsidR="00B25A6A" w:rsidRPr="0009175B" w:rsidSect="001109EC">
      <w:headerReference w:type="default" r:id="rId9"/>
      <w:footerReference w:type="default" r:id="rId10"/>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767" w:rsidRDefault="00AB1767" w:rsidP="00EE1060">
      <w:pPr>
        <w:spacing w:after="0" w:line="240" w:lineRule="auto"/>
      </w:pPr>
      <w:r>
        <w:separator/>
      </w:r>
    </w:p>
  </w:endnote>
  <w:endnote w:type="continuationSeparator" w:id="0">
    <w:p w:rsidR="00AB1767" w:rsidRDefault="00AB1767"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D82820" w:rsidP="00F505E7">
            <w:pPr>
              <w:pStyle w:val="Footer"/>
              <w:tabs>
                <w:tab w:val="clear" w:pos="4680"/>
                <w:tab w:val="clear" w:pos="9360"/>
                <w:tab w:val="right" w:pos="14400"/>
              </w:tabs>
            </w:pPr>
            <w:r>
              <w:t>01/31/17</w:t>
            </w:r>
            <w:r w:rsidR="00EE1060">
              <w:tab/>
              <w:t xml:space="preserve">Page </w:t>
            </w:r>
            <w:r w:rsidR="00EE1060">
              <w:rPr>
                <w:b/>
                <w:bCs/>
                <w:sz w:val="24"/>
                <w:szCs w:val="24"/>
              </w:rPr>
              <w:fldChar w:fldCharType="begin"/>
            </w:r>
            <w:r w:rsidR="00EE1060">
              <w:rPr>
                <w:b/>
                <w:bCs/>
              </w:rPr>
              <w:instrText xml:space="preserve"> PAGE </w:instrText>
            </w:r>
            <w:r w:rsidR="00EE1060">
              <w:rPr>
                <w:b/>
                <w:bCs/>
                <w:sz w:val="24"/>
                <w:szCs w:val="24"/>
              </w:rPr>
              <w:fldChar w:fldCharType="separate"/>
            </w:r>
            <w:r w:rsidR="00831647">
              <w:rPr>
                <w:b/>
                <w:bCs/>
                <w:noProof/>
              </w:rPr>
              <w:t>1</w:t>
            </w:r>
            <w:r w:rsidR="00EE1060">
              <w:rPr>
                <w:b/>
                <w:bCs/>
                <w:sz w:val="24"/>
                <w:szCs w:val="24"/>
              </w:rPr>
              <w:fldChar w:fldCharType="end"/>
            </w:r>
            <w:r w:rsidR="00EE1060">
              <w:t xml:space="preserve"> of </w:t>
            </w:r>
            <w:r w:rsidR="00EE1060">
              <w:rPr>
                <w:b/>
                <w:bCs/>
                <w:sz w:val="24"/>
                <w:szCs w:val="24"/>
              </w:rPr>
              <w:fldChar w:fldCharType="begin"/>
            </w:r>
            <w:r w:rsidR="00EE1060">
              <w:rPr>
                <w:b/>
                <w:bCs/>
              </w:rPr>
              <w:instrText xml:space="preserve"> NUMPAGES  </w:instrText>
            </w:r>
            <w:r w:rsidR="00EE1060">
              <w:rPr>
                <w:b/>
                <w:bCs/>
                <w:sz w:val="24"/>
                <w:szCs w:val="24"/>
              </w:rPr>
              <w:fldChar w:fldCharType="separate"/>
            </w:r>
            <w:r w:rsidR="00831647">
              <w:rPr>
                <w:b/>
                <w:bCs/>
                <w:noProof/>
              </w:rPr>
              <w:t>1</w:t>
            </w:r>
            <w:r w:rsidR="00EE1060">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767" w:rsidRDefault="00AB1767" w:rsidP="00EE1060">
      <w:pPr>
        <w:spacing w:after="0" w:line="240" w:lineRule="auto"/>
      </w:pPr>
      <w:r>
        <w:separator/>
      </w:r>
    </w:p>
  </w:footnote>
  <w:footnote w:type="continuationSeparator" w:id="0">
    <w:p w:rsidR="00AB1767" w:rsidRDefault="00AB1767"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536352" w:rsidP="00F505E7">
    <w:pPr>
      <w:tabs>
        <w:tab w:val="right" w:pos="14400"/>
      </w:tabs>
      <w:spacing w:after="0"/>
      <w:jc w:val="center"/>
      <w:rPr>
        <w:b/>
        <w:sz w:val="20"/>
        <w:szCs w:val="20"/>
      </w:rPr>
    </w:pPr>
    <w:r>
      <w:rPr>
        <w:b/>
        <w:sz w:val="20"/>
        <w:szCs w:val="20"/>
      </w:rPr>
      <w:t>TRACKING CONTROL</w:t>
    </w:r>
  </w:p>
  <w:p w:rsidR="00D3117A" w:rsidRPr="000122FE" w:rsidRDefault="0019589D" w:rsidP="000122FE">
    <w:pPr>
      <w:pStyle w:val="Header"/>
      <w:tabs>
        <w:tab w:val="clear" w:pos="4680"/>
        <w:tab w:val="clear" w:pos="9360"/>
      </w:tabs>
      <w:spacing w:after="120"/>
      <w:jc w:val="center"/>
      <w:rPr>
        <w:b/>
        <w:sz w:val="20"/>
        <w:szCs w:val="20"/>
      </w:rPr>
    </w:pPr>
    <w:r>
      <w:rPr>
        <w:b/>
        <w:sz w:val="20"/>
        <w:szCs w:val="20"/>
      </w:rPr>
      <w:t>TEMPORARY CONSTRUCTION ROADWAY</w:t>
    </w:r>
    <w:r w:rsidR="00F505E7" w:rsidRPr="00F505E7">
      <w:rPr>
        <w:b/>
        <w:sz w:val="20"/>
        <w:szCs w:val="20"/>
      </w:rPr>
      <w:t xml:space="preserve">, </w:t>
    </w:r>
    <w:r w:rsidR="00536352">
      <w:rPr>
        <w:b/>
        <w:sz w:val="20"/>
        <w:szCs w:val="20"/>
      </w:rPr>
      <w:t>TC</w:t>
    </w:r>
    <w:r w:rsidR="00F505E7" w:rsidRPr="00F505E7">
      <w:rPr>
        <w:b/>
        <w:sz w:val="20"/>
        <w:szCs w:val="20"/>
      </w:rPr>
      <w:t>-</w:t>
    </w:r>
    <w:r>
      <w:rPr>
        <w:b/>
        <w:sz w:val="20"/>
        <w:szCs w:val="20"/>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605BF"/>
    <w:rsid w:val="00061DDB"/>
    <w:rsid w:val="00070BAA"/>
    <w:rsid w:val="0009175B"/>
    <w:rsid w:val="000C2851"/>
    <w:rsid w:val="000D3DDC"/>
    <w:rsid w:val="000E3C42"/>
    <w:rsid w:val="000F1733"/>
    <w:rsid w:val="00100A9F"/>
    <w:rsid w:val="001109EC"/>
    <w:rsid w:val="00111F07"/>
    <w:rsid w:val="001128E1"/>
    <w:rsid w:val="001361EB"/>
    <w:rsid w:val="00140BD8"/>
    <w:rsid w:val="001606D0"/>
    <w:rsid w:val="00160CC1"/>
    <w:rsid w:val="00183AD7"/>
    <w:rsid w:val="0019589D"/>
    <w:rsid w:val="00196EC8"/>
    <w:rsid w:val="001A058F"/>
    <w:rsid w:val="001A42E7"/>
    <w:rsid w:val="001B31E8"/>
    <w:rsid w:val="001D297C"/>
    <w:rsid w:val="002119A7"/>
    <w:rsid w:val="00230028"/>
    <w:rsid w:val="002C26F3"/>
    <w:rsid w:val="002F4BDE"/>
    <w:rsid w:val="002F7591"/>
    <w:rsid w:val="00303DC3"/>
    <w:rsid w:val="00304BFE"/>
    <w:rsid w:val="003277BE"/>
    <w:rsid w:val="00343251"/>
    <w:rsid w:val="00357042"/>
    <w:rsid w:val="004050D3"/>
    <w:rsid w:val="00414C43"/>
    <w:rsid w:val="00423068"/>
    <w:rsid w:val="004240A0"/>
    <w:rsid w:val="004344A7"/>
    <w:rsid w:val="00434A0F"/>
    <w:rsid w:val="00435CE3"/>
    <w:rsid w:val="004429E7"/>
    <w:rsid w:val="004550DA"/>
    <w:rsid w:val="004A565C"/>
    <w:rsid w:val="004D05B4"/>
    <w:rsid w:val="004F4DF6"/>
    <w:rsid w:val="00536352"/>
    <w:rsid w:val="00577024"/>
    <w:rsid w:val="005A3EC9"/>
    <w:rsid w:val="005C2D55"/>
    <w:rsid w:val="005C38B5"/>
    <w:rsid w:val="005F2DE4"/>
    <w:rsid w:val="0060019D"/>
    <w:rsid w:val="0060728F"/>
    <w:rsid w:val="00616230"/>
    <w:rsid w:val="00622C7F"/>
    <w:rsid w:val="00622EDF"/>
    <w:rsid w:val="00622FBA"/>
    <w:rsid w:val="0062540E"/>
    <w:rsid w:val="00640ED9"/>
    <w:rsid w:val="00675C33"/>
    <w:rsid w:val="00696979"/>
    <w:rsid w:val="006A6281"/>
    <w:rsid w:val="006C0691"/>
    <w:rsid w:val="006E0C93"/>
    <w:rsid w:val="006E4A7A"/>
    <w:rsid w:val="0071756B"/>
    <w:rsid w:val="00740EDB"/>
    <w:rsid w:val="00744F46"/>
    <w:rsid w:val="00745D98"/>
    <w:rsid w:val="00753F0B"/>
    <w:rsid w:val="00776229"/>
    <w:rsid w:val="007D0045"/>
    <w:rsid w:val="007D7A0A"/>
    <w:rsid w:val="007E5424"/>
    <w:rsid w:val="00803054"/>
    <w:rsid w:val="00825FFB"/>
    <w:rsid w:val="00831647"/>
    <w:rsid w:val="008330A8"/>
    <w:rsid w:val="00835C8A"/>
    <w:rsid w:val="008541FC"/>
    <w:rsid w:val="008622D0"/>
    <w:rsid w:val="00864955"/>
    <w:rsid w:val="008A6150"/>
    <w:rsid w:val="008B1D19"/>
    <w:rsid w:val="008B4348"/>
    <w:rsid w:val="008C5C5B"/>
    <w:rsid w:val="008D177D"/>
    <w:rsid w:val="008F0900"/>
    <w:rsid w:val="00941FBD"/>
    <w:rsid w:val="00957C13"/>
    <w:rsid w:val="009A4402"/>
    <w:rsid w:val="009C270A"/>
    <w:rsid w:val="009D516B"/>
    <w:rsid w:val="009E2E10"/>
    <w:rsid w:val="009E5D32"/>
    <w:rsid w:val="009F0DF5"/>
    <w:rsid w:val="009F51C8"/>
    <w:rsid w:val="00A358C7"/>
    <w:rsid w:val="00A7700F"/>
    <w:rsid w:val="00A927D5"/>
    <w:rsid w:val="00AA06CC"/>
    <w:rsid w:val="00AB1767"/>
    <w:rsid w:val="00AB375E"/>
    <w:rsid w:val="00AC4D97"/>
    <w:rsid w:val="00B13C40"/>
    <w:rsid w:val="00B25A6A"/>
    <w:rsid w:val="00B457FA"/>
    <w:rsid w:val="00B55F29"/>
    <w:rsid w:val="00B56A50"/>
    <w:rsid w:val="00B61E23"/>
    <w:rsid w:val="00B6366C"/>
    <w:rsid w:val="00B91787"/>
    <w:rsid w:val="00BA0779"/>
    <w:rsid w:val="00BA0CD3"/>
    <w:rsid w:val="00BB3759"/>
    <w:rsid w:val="00BB4F30"/>
    <w:rsid w:val="00BC102E"/>
    <w:rsid w:val="00C03DAA"/>
    <w:rsid w:val="00C36452"/>
    <w:rsid w:val="00C4222C"/>
    <w:rsid w:val="00C85E98"/>
    <w:rsid w:val="00C85F7D"/>
    <w:rsid w:val="00C877BC"/>
    <w:rsid w:val="00C9306F"/>
    <w:rsid w:val="00CA36C8"/>
    <w:rsid w:val="00CD05F5"/>
    <w:rsid w:val="00CD69FF"/>
    <w:rsid w:val="00CE198B"/>
    <w:rsid w:val="00CE4043"/>
    <w:rsid w:val="00CF5251"/>
    <w:rsid w:val="00D10396"/>
    <w:rsid w:val="00D3117A"/>
    <w:rsid w:val="00D82820"/>
    <w:rsid w:val="00DA12AC"/>
    <w:rsid w:val="00DC421F"/>
    <w:rsid w:val="00DE6865"/>
    <w:rsid w:val="00DF12F6"/>
    <w:rsid w:val="00DF3C8A"/>
    <w:rsid w:val="00E12C05"/>
    <w:rsid w:val="00E60ABF"/>
    <w:rsid w:val="00E926F5"/>
    <w:rsid w:val="00EB731D"/>
    <w:rsid w:val="00EC5FA2"/>
    <w:rsid w:val="00EC65E2"/>
    <w:rsid w:val="00EE1060"/>
    <w:rsid w:val="00EE3866"/>
    <w:rsid w:val="00F31D85"/>
    <w:rsid w:val="00F505E7"/>
    <w:rsid w:val="00F67BC0"/>
    <w:rsid w:val="00FB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5A735-5787-455E-A3BF-6CE5F64AA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12</cp:revision>
  <cp:lastPrinted>2014-03-11T16:55:00Z</cp:lastPrinted>
  <dcterms:created xsi:type="dcterms:W3CDTF">2017-03-16T20:59:00Z</dcterms:created>
  <dcterms:modified xsi:type="dcterms:W3CDTF">2017-04-22T17:30:00Z</dcterms:modified>
</cp:coreProperties>
</file>