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628"/>
        <w:gridCol w:w="12060"/>
      </w:tblGrid>
      <w:tr w:rsidR="00957C13" w:rsidRPr="00B55F29" w:rsidTr="006F5B18">
        <w:trPr>
          <w:trHeight w:val="288"/>
        </w:trPr>
        <w:tc>
          <w:tcPr>
            <w:tcW w:w="2628" w:type="dxa"/>
            <w:noWrap/>
            <w:vAlign w:val="center"/>
          </w:tcPr>
          <w:p w:rsidR="00957C13" w:rsidRPr="006A6281" w:rsidRDefault="00957C13" w:rsidP="001109EC">
            <w:pPr>
              <w:jc w:val="center"/>
            </w:pPr>
            <w:r>
              <w:rPr>
                <w:b/>
              </w:rPr>
              <w:t>QUESTION</w:t>
            </w:r>
          </w:p>
        </w:tc>
        <w:tc>
          <w:tcPr>
            <w:tcW w:w="12060" w:type="dxa"/>
            <w:vAlign w:val="center"/>
            <w:hideMark/>
          </w:tcPr>
          <w:p w:rsidR="00957C13" w:rsidRPr="00B55F29" w:rsidRDefault="00957C13" w:rsidP="006B626D">
            <w:pPr>
              <w:ind w:left="72"/>
              <w:rPr>
                <w:szCs w:val="18"/>
              </w:rPr>
            </w:pPr>
            <w:r w:rsidRPr="00B55F29">
              <w:rPr>
                <w:b/>
                <w:bCs/>
                <w:szCs w:val="18"/>
              </w:rPr>
              <w:t>Application</w:t>
            </w:r>
          </w:p>
        </w:tc>
      </w:tr>
      <w:tr w:rsidR="00423068" w:rsidRPr="00B55F29" w:rsidTr="006F5B18">
        <w:trPr>
          <w:trHeight w:val="288"/>
        </w:trPr>
        <w:tc>
          <w:tcPr>
            <w:tcW w:w="2628" w:type="dxa"/>
            <w:shd w:val="clear" w:color="auto" w:fill="F2F2F2" w:themeFill="background1" w:themeFillShade="F2"/>
            <w:noWrap/>
            <w:vAlign w:val="center"/>
          </w:tcPr>
          <w:p w:rsidR="00423068" w:rsidRPr="00423068" w:rsidRDefault="0060728F" w:rsidP="008804C2">
            <w:pPr>
              <w:jc w:val="center"/>
              <w:rPr>
                <w:b/>
              </w:rPr>
            </w:pPr>
            <w:r>
              <w:rPr>
                <w:b/>
              </w:rPr>
              <w:t>WM</w:t>
            </w:r>
            <w:r w:rsidR="008804C2">
              <w:rPr>
                <w:b/>
              </w:rPr>
              <w:t>2</w:t>
            </w:r>
            <w:r w:rsidR="00423068" w:rsidRPr="00423068">
              <w:rPr>
                <w:b/>
              </w:rPr>
              <w:t>.1</w:t>
            </w:r>
          </w:p>
        </w:tc>
        <w:tc>
          <w:tcPr>
            <w:tcW w:w="12060" w:type="dxa"/>
            <w:shd w:val="clear" w:color="auto" w:fill="F2F2F2" w:themeFill="background1" w:themeFillShade="F2"/>
            <w:vAlign w:val="center"/>
          </w:tcPr>
          <w:p w:rsidR="00423068" w:rsidRPr="00423068" w:rsidRDefault="009C270A" w:rsidP="008804C2">
            <w:pPr>
              <w:ind w:left="72"/>
              <w:rPr>
                <w:b/>
              </w:rPr>
            </w:pPr>
            <w:r>
              <w:rPr>
                <w:b/>
              </w:rPr>
              <w:t xml:space="preserve">Is </w:t>
            </w:r>
            <w:r w:rsidR="00AC1835">
              <w:rPr>
                <w:b/>
              </w:rPr>
              <w:t xml:space="preserve">Material </w:t>
            </w:r>
            <w:r w:rsidR="008804C2">
              <w:rPr>
                <w:b/>
              </w:rPr>
              <w:t>Use</w:t>
            </w:r>
            <w:r>
              <w:rPr>
                <w:b/>
              </w:rPr>
              <w:t xml:space="preserve"> </w:t>
            </w:r>
            <w:r w:rsidR="002F7591">
              <w:rPr>
                <w:b/>
              </w:rPr>
              <w:t>applied</w:t>
            </w:r>
            <w:r w:rsidR="008C5C5B">
              <w:rPr>
                <w:b/>
              </w:rPr>
              <w:t xml:space="preserve"> as required</w:t>
            </w:r>
            <w:r w:rsidR="00423068" w:rsidRPr="00423068">
              <w:rPr>
                <w:b/>
              </w:rPr>
              <w:t>?</w:t>
            </w:r>
          </w:p>
        </w:tc>
      </w:tr>
      <w:tr w:rsidR="00AC1835" w:rsidRPr="00A4058A" w:rsidTr="006F5B18">
        <w:trPr>
          <w:cantSplit/>
        </w:trPr>
        <w:tc>
          <w:tcPr>
            <w:tcW w:w="2628" w:type="dxa"/>
            <w:vAlign w:val="center"/>
          </w:tcPr>
          <w:p w:rsidR="00AC1835" w:rsidRPr="00490556" w:rsidRDefault="00AC1835" w:rsidP="009A20B0">
            <w:pPr>
              <w:rPr>
                <w:rFonts w:cs="Arial"/>
                <w:b/>
                <w:bCs/>
                <w:color w:val="000000"/>
                <w:szCs w:val="18"/>
              </w:rPr>
            </w:pPr>
            <w:r w:rsidRPr="00490556">
              <w:rPr>
                <w:rFonts w:cs="Arial"/>
                <w:b/>
                <w:bCs/>
                <w:color w:val="000000"/>
                <w:szCs w:val="18"/>
              </w:rPr>
              <w:t>SPECs, 13-4.03C(1) General</w:t>
            </w:r>
          </w:p>
        </w:tc>
        <w:tc>
          <w:tcPr>
            <w:tcW w:w="12060" w:type="dxa"/>
            <w:vAlign w:val="center"/>
          </w:tcPr>
          <w:p w:rsidR="00AC1835" w:rsidRDefault="00AC1835" w:rsidP="0060239C">
            <w:pPr>
              <w:ind w:left="72"/>
            </w:pPr>
            <w:r>
              <w:t>Minimize or eliminate discharge of material into the air, storm drain systems, and receiving waters while taking delivery of, using, or storing the following materials:</w:t>
            </w:r>
          </w:p>
          <w:p w:rsidR="00AC1835" w:rsidRDefault="00AC1835" w:rsidP="0060239C">
            <w:pPr>
              <w:ind w:left="72"/>
            </w:pPr>
            <w:r>
              <w:t>1. Hazardous chemicals, including acids, lime, glues, adhesives, paints, solvents, and curing compounds</w:t>
            </w:r>
            <w:r>
              <w:tab/>
              <w:t>2. Soil stabilizers and binders</w:t>
            </w:r>
            <w:r>
              <w:tab/>
            </w:r>
            <w:r>
              <w:tab/>
              <w:t>3. Fertilizers</w:t>
            </w:r>
          </w:p>
          <w:p w:rsidR="00AC1835" w:rsidRDefault="00AC1835" w:rsidP="0060239C">
            <w:pPr>
              <w:ind w:left="72"/>
            </w:pPr>
            <w:r>
              <w:t>4. Detergents</w:t>
            </w:r>
            <w:r>
              <w:tab/>
              <w:t>5. Plaster</w:t>
            </w:r>
            <w:r>
              <w:tab/>
            </w:r>
            <w:r>
              <w:tab/>
              <w:t>6. Petroleum materials, including fuel, oil, and grease</w:t>
            </w:r>
            <w:r>
              <w:tab/>
            </w:r>
            <w:r>
              <w:tab/>
              <w:t>7. Asphalt and concrete components</w:t>
            </w:r>
          </w:p>
          <w:p w:rsidR="00AC1835" w:rsidRPr="00BB4F30" w:rsidRDefault="00AC1835" w:rsidP="0060239C">
            <w:pPr>
              <w:ind w:left="72"/>
            </w:pPr>
            <w:r>
              <w:t>8. Pesticides and herbicides</w:t>
            </w:r>
          </w:p>
        </w:tc>
      </w:tr>
      <w:tr w:rsidR="0060239C" w:rsidRPr="00B55F29" w:rsidTr="006F5B18">
        <w:tc>
          <w:tcPr>
            <w:tcW w:w="2628" w:type="dxa"/>
            <w:vAlign w:val="center"/>
          </w:tcPr>
          <w:p w:rsidR="0060239C" w:rsidRPr="00490556" w:rsidRDefault="0060239C" w:rsidP="0060239C">
            <w:pPr>
              <w:jc w:val="center"/>
              <w:rPr>
                <w:b/>
              </w:rPr>
            </w:pPr>
            <w:r w:rsidRPr="00490556">
              <w:rPr>
                <w:b/>
              </w:rPr>
              <w:t xml:space="preserve">CGP, Attachment </w:t>
            </w:r>
            <w:r>
              <w:rPr>
                <w:b/>
              </w:rPr>
              <w:t xml:space="preserve">C.B.4; </w:t>
            </w:r>
            <w:r w:rsidRPr="00490556">
              <w:rPr>
                <w:b/>
              </w:rPr>
              <w:t>D.B.4</w:t>
            </w:r>
            <w:r>
              <w:rPr>
                <w:b/>
              </w:rPr>
              <w:t xml:space="preserve">; </w:t>
            </w:r>
            <w:r w:rsidRPr="00490556">
              <w:rPr>
                <w:rFonts w:cs="Arial"/>
                <w:b/>
                <w:bCs/>
                <w:color w:val="000000"/>
                <w:szCs w:val="18"/>
              </w:rPr>
              <w:t>E.B.4</w:t>
            </w:r>
          </w:p>
        </w:tc>
        <w:tc>
          <w:tcPr>
            <w:tcW w:w="12060" w:type="dxa"/>
          </w:tcPr>
          <w:p w:rsidR="0060239C" w:rsidRPr="005E6BE1" w:rsidRDefault="0060239C" w:rsidP="00E56E76">
            <w:pPr>
              <w:ind w:left="72"/>
              <w:rPr>
                <w:rFonts w:cs="Arial"/>
                <w:color w:val="000000"/>
                <w:szCs w:val="18"/>
              </w:rPr>
            </w:pPr>
            <w:r w:rsidRPr="005E6BE1">
              <w:rPr>
                <w:rFonts w:cs="Arial"/>
                <w:color w:val="000000"/>
                <w:szCs w:val="18"/>
              </w:rPr>
              <w:t xml:space="preserve">Risk Level </w:t>
            </w:r>
            <w:r>
              <w:rPr>
                <w:rFonts w:cs="Arial"/>
                <w:color w:val="000000"/>
                <w:szCs w:val="18"/>
              </w:rPr>
              <w:t xml:space="preserve">1, </w:t>
            </w:r>
            <w:r w:rsidRPr="005E6BE1">
              <w:rPr>
                <w:rFonts w:cs="Arial"/>
                <w:color w:val="000000"/>
                <w:szCs w:val="18"/>
              </w:rPr>
              <w:t xml:space="preserve">2 </w:t>
            </w:r>
            <w:r>
              <w:rPr>
                <w:rFonts w:cs="Arial"/>
                <w:color w:val="000000"/>
                <w:szCs w:val="18"/>
              </w:rPr>
              <w:t xml:space="preserve">and 3 </w:t>
            </w:r>
            <w:r w:rsidRPr="005E6BE1">
              <w:rPr>
                <w:rFonts w:cs="Arial"/>
                <w:color w:val="000000"/>
                <w:szCs w:val="18"/>
              </w:rPr>
              <w:t>dischargers shall implement good housekeeping for landscape materials, which, at a minimum, shall consist of the following:</w:t>
            </w:r>
          </w:p>
          <w:p w:rsidR="0060239C" w:rsidRPr="005E6BE1" w:rsidRDefault="008804C2" w:rsidP="00E56E76">
            <w:pPr>
              <w:ind w:left="72"/>
              <w:rPr>
                <w:rFonts w:cs="Arial"/>
                <w:color w:val="000000"/>
                <w:szCs w:val="18"/>
              </w:rPr>
            </w:pPr>
            <w:r>
              <w:rPr>
                <w:rFonts w:cs="Arial"/>
                <w:color w:val="000000"/>
                <w:szCs w:val="18"/>
              </w:rPr>
              <w:t>c</w:t>
            </w:r>
            <w:r w:rsidR="0060239C" w:rsidRPr="005E6BE1">
              <w:rPr>
                <w:rFonts w:cs="Arial"/>
                <w:color w:val="000000"/>
                <w:szCs w:val="18"/>
              </w:rPr>
              <w:t xml:space="preserve">. </w:t>
            </w:r>
            <w:r>
              <w:rPr>
                <w:rFonts w:cs="Arial"/>
                <w:color w:val="000000"/>
                <w:szCs w:val="18"/>
              </w:rPr>
              <w:t>Discontinuing the application of any erodible landscape material within 2 days before a forecast rain event or during periods of precipitation.</w:t>
            </w:r>
          </w:p>
          <w:p w:rsidR="0060239C" w:rsidRPr="00B55F29" w:rsidRDefault="008804C2" w:rsidP="008804C2">
            <w:pPr>
              <w:ind w:left="72"/>
              <w:rPr>
                <w:rFonts w:cs="Arial"/>
                <w:color w:val="000000"/>
                <w:szCs w:val="18"/>
              </w:rPr>
            </w:pPr>
            <w:r>
              <w:rPr>
                <w:rFonts w:cs="Arial"/>
                <w:color w:val="000000"/>
                <w:szCs w:val="18"/>
              </w:rPr>
              <w:t>d</w:t>
            </w:r>
            <w:r w:rsidR="0060239C" w:rsidRPr="005E6BE1">
              <w:rPr>
                <w:rFonts w:cs="Arial"/>
                <w:color w:val="000000"/>
                <w:szCs w:val="18"/>
              </w:rPr>
              <w:t xml:space="preserve">. </w:t>
            </w:r>
            <w:r>
              <w:rPr>
                <w:rFonts w:cs="Arial"/>
                <w:color w:val="000000"/>
                <w:szCs w:val="18"/>
              </w:rPr>
              <w:t>Applying erodible landscape material at quantities and application rates according to manufacturer’s recommendations or based on written specifications by knowledgeable and experience field personnel</w:t>
            </w:r>
            <w:r w:rsidR="0060239C" w:rsidRPr="005E6BE1">
              <w:rPr>
                <w:rFonts w:cs="Arial"/>
                <w:color w:val="000000"/>
                <w:szCs w:val="18"/>
              </w:rPr>
              <w:t>.</w:t>
            </w:r>
          </w:p>
        </w:tc>
      </w:tr>
      <w:tr w:rsidR="00950727" w:rsidRPr="00B55F29" w:rsidTr="006F5B18">
        <w:trPr>
          <w:trHeight w:val="20"/>
        </w:trPr>
        <w:tc>
          <w:tcPr>
            <w:tcW w:w="2628" w:type="dxa"/>
            <w:noWrap/>
            <w:vAlign w:val="center"/>
          </w:tcPr>
          <w:p w:rsidR="00950727" w:rsidRPr="00E41E6F" w:rsidRDefault="00950727" w:rsidP="00950727">
            <w:pPr>
              <w:jc w:val="center"/>
              <w:rPr>
                <w:b/>
                <w:bCs/>
                <w:sz w:val="16"/>
                <w:szCs w:val="16"/>
              </w:rPr>
            </w:pPr>
            <w:r w:rsidRPr="00E41E6F">
              <w:rPr>
                <w:rFonts w:cs="Helvetica-Bold"/>
                <w:b/>
                <w:bCs/>
                <w:szCs w:val="18"/>
              </w:rPr>
              <w:t>LTP VIII.</w:t>
            </w:r>
          </w:p>
        </w:tc>
        <w:tc>
          <w:tcPr>
            <w:tcW w:w="12060" w:type="dxa"/>
            <w:vAlign w:val="center"/>
          </w:tcPr>
          <w:p w:rsidR="00950727" w:rsidRPr="00E41E6F" w:rsidRDefault="00950727" w:rsidP="00950727">
            <w:pPr>
              <w:ind w:left="72"/>
              <w:rPr>
                <w:b/>
                <w:bCs/>
                <w:sz w:val="16"/>
                <w:szCs w:val="16"/>
              </w:rPr>
            </w:pPr>
            <w:r w:rsidRPr="00E41E6F">
              <w:rPr>
                <w:rFonts w:cs="Helvetica"/>
                <w:szCs w:val="18"/>
              </w:rPr>
              <w:t xml:space="preserve">Dischargers shall minimize or prevent pollutants in authorized non-storm water discharges through </w:t>
            </w:r>
            <w:r>
              <w:rPr>
                <w:rFonts w:cs="Helvetica"/>
                <w:szCs w:val="18"/>
              </w:rPr>
              <w:t xml:space="preserve">the use of controls, structures </w:t>
            </w:r>
            <w:r w:rsidRPr="00E41E6F">
              <w:rPr>
                <w:rFonts w:cs="Helvetica"/>
                <w:szCs w:val="18"/>
              </w:rPr>
              <w:t>and management practices that achieve BAT for toxic and non-conventional pollutants and BCT for conventional pollutants</w:t>
            </w:r>
          </w:p>
        </w:tc>
      </w:tr>
    </w:tbl>
    <w:p w:rsidR="008A6150" w:rsidRPr="00B55F29" w:rsidRDefault="008A6150" w:rsidP="008A6150">
      <w:pPr>
        <w:spacing w:after="0"/>
        <w:ind w:left="72"/>
        <w:jc w:val="center"/>
        <w:rPr>
          <w:szCs w:val="18"/>
        </w:rPr>
      </w:pPr>
      <w:bookmarkStart w:id="0" w:name="_GoBack"/>
      <w:bookmarkEnd w:id="0"/>
    </w:p>
    <w:tbl>
      <w:tblPr>
        <w:tblStyle w:val="TableGrid"/>
        <w:tblW w:w="14688" w:type="dxa"/>
        <w:tblLook w:val="04A0" w:firstRow="1" w:lastRow="0" w:firstColumn="1" w:lastColumn="0" w:noHBand="0" w:noVBand="1"/>
      </w:tblPr>
      <w:tblGrid>
        <w:gridCol w:w="2628"/>
        <w:gridCol w:w="12060"/>
      </w:tblGrid>
      <w:tr w:rsidR="00435CE3" w:rsidRPr="00B55F29" w:rsidTr="006F5B18">
        <w:trPr>
          <w:trHeight w:val="288"/>
        </w:trPr>
        <w:tc>
          <w:tcPr>
            <w:tcW w:w="2628" w:type="dxa"/>
            <w:noWrap/>
            <w:vAlign w:val="center"/>
          </w:tcPr>
          <w:p w:rsidR="00435CE3" w:rsidRPr="006A6281" w:rsidRDefault="00435CE3" w:rsidP="006A6281"/>
        </w:tc>
        <w:tc>
          <w:tcPr>
            <w:tcW w:w="12060" w:type="dxa"/>
            <w:vAlign w:val="center"/>
            <w:hideMark/>
          </w:tcPr>
          <w:p w:rsidR="00435CE3" w:rsidRPr="00B55F29" w:rsidRDefault="00435CE3" w:rsidP="00E56E76">
            <w:pPr>
              <w:ind w:left="72"/>
              <w:rPr>
                <w:szCs w:val="18"/>
              </w:rPr>
            </w:pPr>
            <w:r w:rsidRPr="00B55F29">
              <w:rPr>
                <w:b/>
                <w:bCs/>
                <w:szCs w:val="18"/>
              </w:rPr>
              <w:t>I</w:t>
            </w:r>
            <w:r w:rsidR="00E56E76">
              <w:rPr>
                <w:b/>
                <w:bCs/>
                <w:szCs w:val="18"/>
              </w:rPr>
              <w:t>mplement</w:t>
            </w:r>
            <w:r w:rsidRPr="00B55F29">
              <w:rPr>
                <w:b/>
                <w:bCs/>
                <w:szCs w:val="18"/>
              </w:rPr>
              <w:t>ation</w:t>
            </w:r>
          </w:p>
        </w:tc>
      </w:tr>
      <w:tr w:rsidR="00435CE3" w:rsidRPr="00B55F29" w:rsidTr="006F5B18">
        <w:trPr>
          <w:trHeight w:val="288"/>
        </w:trPr>
        <w:tc>
          <w:tcPr>
            <w:tcW w:w="2628" w:type="dxa"/>
            <w:shd w:val="clear" w:color="auto" w:fill="F2F2F2" w:themeFill="background1" w:themeFillShade="F2"/>
            <w:noWrap/>
            <w:vAlign w:val="center"/>
          </w:tcPr>
          <w:p w:rsidR="00435CE3" w:rsidRPr="00435CE3" w:rsidRDefault="0060728F" w:rsidP="008804C2">
            <w:pPr>
              <w:jc w:val="center"/>
              <w:rPr>
                <w:b/>
              </w:rPr>
            </w:pPr>
            <w:r>
              <w:rPr>
                <w:b/>
              </w:rPr>
              <w:t>WM</w:t>
            </w:r>
            <w:r w:rsidR="008804C2">
              <w:rPr>
                <w:b/>
              </w:rPr>
              <w:t>2</w:t>
            </w:r>
            <w:r w:rsidR="00675C33">
              <w:rPr>
                <w:b/>
              </w:rPr>
              <w:t>.2</w:t>
            </w:r>
          </w:p>
        </w:tc>
        <w:tc>
          <w:tcPr>
            <w:tcW w:w="12060" w:type="dxa"/>
            <w:shd w:val="clear" w:color="auto" w:fill="F2F2F2" w:themeFill="background1" w:themeFillShade="F2"/>
            <w:vAlign w:val="center"/>
          </w:tcPr>
          <w:p w:rsidR="00435CE3" w:rsidRPr="0062540E" w:rsidRDefault="0060239C" w:rsidP="008804C2">
            <w:pPr>
              <w:ind w:left="72"/>
              <w:rPr>
                <w:b/>
                <w:bCs/>
                <w:szCs w:val="18"/>
              </w:rPr>
            </w:pPr>
            <w:r>
              <w:rPr>
                <w:b/>
              </w:rPr>
              <w:t xml:space="preserve">Is Material </w:t>
            </w:r>
            <w:r w:rsidR="008804C2">
              <w:rPr>
                <w:b/>
              </w:rPr>
              <w:t>Use</w:t>
            </w:r>
            <w:r>
              <w:rPr>
                <w:b/>
              </w:rPr>
              <w:t xml:space="preserve"> implemented </w:t>
            </w:r>
            <w:r w:rsidR="008C5C5B">
              <w:rPr>
                <w:b/>
              </w:rPr>
              <w:t>properly</w:t>
            </w:r>
            <w:r w:rsidR="0062540E" w:rsidRPr="0062540E">
              <w:rPr>
                <w:b/>
              </w:rPr>
              <w:t>?</w:t>
            </w:r>
          </w:p>
        </w:tc>
      </w:tr>
      <w:tr w:rsidR="00C530E8" w:rsidRPr="00BD3CDA" w:rsidTr="006F5B18">
        <w:trPr>
          <w:cantSplit/>
          <w:trHeight w:val="70"/>
        </w:trPr>
        <w:tc>
          <w:tcPr>
            <w:tcW w:w="2628" w:type="dxa"/>
            <w:vAlign w:val="center"/>
          </w:tcPr>
          <w:p w:rsidR="00C530E8" w:rsidRPr="004560D6" w:rsidRDefault="00C530E8" w:rsidP="008804C2">
            <w:pPr>
              <w:jc w:val="center"/>
              <w:rPr>
                <w:b/>
                <w:szCs w:val="18"/>
              </w:rPr>
            </w:pPr>
            <w:r w:rsidRPr="004560D6">
              <w:rPr>
                <w:b/>
                <w:szCs w:val="18"/>
              </w:rPr>
              <w:t>SPECs, 13-4.03</w:t>
            </w:r>
            <w:r w:rsidR="008804C2">
              <w:rPr>
                <w:b/>
                <w:szCs w:val="18"/>
              </w:rPr>
              <w:t>E</w:t>
            </w:r>
            <w:r w:rsidRPr="004560D6">
              <w:rPr>
                <w:b/>
                <w:szCs w:val="18"/>
              </w:rPr>
              <w:t>(</w:t>
            </w:r>
            <w:r w:rsidR="008804C2">
              <w:rPr>
                <w:b/>
                <w:szCs w:val="18"/>
              </w:rPr>
              <w:t>8</w:t>
            </w:r>
            <w:r w:rsidRPr="004560D6">
              <w:rPr>
                <w:b/>
                <w:szCs w:val="18"/>
              </w:rPr>
              <w:t xml:space="preserve">) </w:t>
            </w:r>
            <w:r w:rsidR="008804C2">
              <w:rPr>
                <w:b/>
                <w:szCs w:val="18"/>
              </w:rPr>
              <w:t>Thermoplastic Striping and Pavement Markers</w:t>
            </w:r>
          </w:p>
        </w:tc>
        <w:tc>
          <w:tcPr>
            <w:tcW w:w="12060" w:type="dxa"/>
            <w:vAlign w:val="center"/>
          </w:tcPr>
          <w:p w:rsidR="00C530E8" w:rsidRDefault="00155795" w:rsidP="00F704C9">
            <w:pPr>
              <w:ind w:left="72"/>
            </w:pPr>
            <w:r>
              <w:t>Do not preheat, transfer, or load thermoplastic within 50 feet of drainage inlets and receiving waters.</w:t>
            </w:r>
          </w:p>
          <w:p w:rsidR="00155795" w:rsidRDefault="00155795" w:rsidP="00F704C9">
            <w:pPr>
              <w:ind w:left="72"/>
            </w:pPr>
            <w:r>
              <w:t>Do not unload, transfer, or load bituminous material for pavement markers within 50 feet of drainage inlets and receiving waters.</w:t>
            </w:r>
          </w:p>
          <w:p w:rsidR="00C530E8" w:rsidRPr="00BD3CDA" w:rsidRDefault="00155795" w:rsidP="00155795">
            <w:pPr>
              <w:ind w:left="72"/>
            </w:pPr>
            <w:r>
              <w:t>Collect and dispose of bituminous material from the roadway after removing markers.</w:t>
            </w:r>
          </w:p>
        </w:tc>
      </w:tr>
      <w:tr w:rsidR="006E4A7A" w:rsidRPr="00B55F29" w:rsidTr="006F5B18">
        <w:tc>
          <w:tcPr>
            <w:tcW w:w="2628" w:type="dxa"/>
            <w:vAlign w:val="center"/>
          </w:tcPr>
          <w:p w:rsidR="006E4A7A" w:rsidRPr="00AA06CC" w:rsidRDefault="009E5D32" w:rsidP="008804C2">
            <w:pPr>
              <w:jc w:val="center"/>
              <w:rPr>
                <w:b/>
              </w:rPr>
            </w:pPr>
            <w:r>
              <w:rPr>
                <w:b/>
              </w:rPr>
              <w:t xml:space="preserve">CGP, </w:t>
            </w:r>
            <w:r w:rsidR="006E4A7A" w:rsidRPr="00AA06CC">
              <w:rPr>
                <w:b/>
              </w:rPr>
              <w:t>Order IV.E</w:t>
            </w:r>
            <w:r w:rsidR="000E5851">
              <w:rPr>
                <w:b/>
              </w:rPr>
              <w:t xml:space="preserve"> Proper Operation and Maintenance</w:t>
            </w:r>
          </w:p>
        </w:tc>
        <w:tc>
          <w:tcPr>
            <w:tcW w:w="12060" w:type="dxa"/>
            <w:vAlign w:val="center"/>
          </w:tcPr>
          <w:p w:rsidR="006E4A7A" w:rsidRDefault="006E4A7A" w:rsidP="000122FE">
            <w:pPr>
              <w:ind w:left="72"/>
            </w:pPr>
            <w:r w:rsidRPr="00237282">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r w:rsidR="00950727" w:rsidTr="006F5B18">
        <w:tc>
          <w:tcPr>
            <w:tcW w:w="2628" w:type="dxa"/>
            <w:vAlign w:val="center"/>
            <w:hideMark/>
          </w:tcPr>
          <w:p w:rsidR="00950727" w:rsidRPr="00950727" w:rsidRDefault="00950727" w:rsidP="00950727">
            <w:pPr>
              <w:jc w:val="center"/>
              <w:rPr>
                <w:b/>
                <w:szCs w:val="18"/>
              </w:rPr>
            </w:pPr>
            <w:r w:rsidRPr="00950727">
              <w:rPr>
                <w:b/>
                <w:szCs w:val="18"/>
              </w:rPr>
              <w:t>LTP,VIII</w:t>
            </w:r>
            <w:r>
              <w:rPr>
                <w:b/>
                <w:szCs w:val="18"/>
              </w:rPr>
              <w:t>.</w:t>
            </w:r>
            <w:r w:rsidRPr="00950727">
              <w:rPr>
                <w:b/>
                <w:szCs w:val="18"/>
              </w:rPr>
              <w:t>A.2</w:t>
            </w:r>
          </w:p>
        </w:tc>
        <w:tc>
          <w:tcPr>
            <w:tcW w:w="12060" w:type="dxa"/>
            <w:vAlign w:val="center"/>
            <w:hideMark/>
          </w:tcPr>
          <w:p w:rsidR="00950727" w:rsidRPr="00950727" w:rsidRDefault="00950727" w:rsidP="00950727">
            <w:pPr>
              <w:autoSpaceDE w:val="0"/>
              <w:autoSpaceDN w:val="0"/>
              <w:adjustRightInd w:val="0"/>
              <w:ind w:left="72"/>
              <w:rPr>
                <w:rFonts w:cs="Helvetica"/>
                <w:szCs w:val="18"/>
              </w:rPr>
            </w:pPr>
            <w:proofErr w:type="gramStart"/>
            <w:r w:rsidRPr="00950727">
              <w:rPr>
                <w:rFonts w:cs="Helvetica-Bold"/>
                <w:b/>
                <w:bCs/>
                <w:szCs w:val="18"/>
              </w:rPr>
              <w:t>a</w:t>
            </w:r>
            <w:proofErr w:type="gramEnd"/>
            <w:r w:rsidRPr="00950727">
              <w:rPr>
                <w:rFonts w:cs="Helvetica-Bold"/>
                <w:b/>
                <w:bCs/>
                <w:szCs w:val="18"/>
              </w:rPr>
              <w:t xml:space="preserve">. </w:t>
            </w:r>
            <w:r w:rsidRPr="00950727">
              <w:rPr>
                <w:rFonts w:cs="Helvetica"/>
                <w:szCs w:val="18"/>
              </w:rPr>
              <w:t>Consider the quantity, physical characteristics (e.g., liquid, powder, solid), and locations of each potential pollutant source handled, produced, stored, recycled, or disposed of at the site.</w:t>
            </w:r>
          </w:p>
          <w:p w:rsidR="00950727" w:rsidRPr="00950727" w:rsidRDefault="00950727" w:rsidP="00950727">
            <w:pPr>
              <w:autoSpaceDE w:val="0"/>
              <w:autoSpaceDN w:val="0"/>
              <w:adjustRightInd w:val="0"/>
              <w:ind w:left="72"/>
              <w:rPr>
                <w:rFonts w:cs="Helvetica"/>
                <w:szCs w:val="18"/>
              </w:rPr>
            </w:pPr>
            <w:r w:rsidRPr="00950727">
              <w:rPr>
                <w:rFonts w:cs="Helvetica-Bold"/>
                <w:b/>
                <w:bCs/>
                <w:szCs w:val="18"/>
              </w:rPr>
              <w:t xml:space="preserve">b. </w:t>
            </w:r>
            <w:r w:rsidRPr="00950727">
              <w:rPr>
                <w:rFonts w:cs="Helvetica"/>
                <w:szCs w:val="18"/>
              </w:rPr>
              <w:t xml:space="preserve">Consider the degree to which pollutants associated with those materials may be exposed to and mobilized by contact with </w:t>
            </w:r>
            <w:proofErr w:type="spellStart"/>
            <w:r w:rsidRPr="00950727">
              <w:rPr>
                <w:rFonts w:cs="Helvetica"/>
                <w:szCs w:val="18"/>
              </w:rPr>
              <w:t>stormwater</w:t>
            </w:r>
            <w:proofErr w:type="spellEnd"/>
            <w:r w:rsidRPr="00950727">
              <w:rPr>
                <w:rFonts w:cs="Helvetica"/>
                <w:szCs w:val="18"/>
              </w:rPr>
              <w:t>.</w:t>
            </w:r>
          </w:p>
          <w:p w:rsidR="00950727" w:rsidRPr="00950727" w:rsidRDefault="00950727" w:rsidP="00950727">
            <w:pPr>
              <w:autoSpaceDE w:val="0"/>
              <w:autoSpaceDN w:val="0"/>
              <w:adjustRightInd w:val="0"/>
              <w:ind w:left="72"/>
              <w:rPr>
                <w:rFonts w:cs="Helvetica"/>
                <w:szCs w:val="18"/>
              </w:rPr>
            </w:pPr>
            <w:r w:rsidRPr="00950727">
              <w:rPr>
                <w:rFonts w:cs="Helvetica-Bold"/>
                <w:b/>
                <w:bCs/>
                <w:szCs w:val="18"/>
              </w:rPr>
              <w:t xml:space="preserve">c. </w:t>
            </w:r>
            <w:r w:rsidRPr="00950727">
              <w:rPr>
                <w:rFonts w:cs="Helvetica"/>
                <w:szCs w:val="18"/>
              </w:rPr>
              <w:t>Consider the direct and indirect pathways that pollutants may be exposed to storm water or authorized non-storm water discharges. This shall include an assessment of past spills or leaks, non-storm water discharges, and discharges from adjoining areas.</w:t>
            </w:r>
          </w:p>
        </w:tc>
      </w:tr>
    </w:tbl>
    <w:p w:rsidR="00B25A6A" w:rsidRDefault="00B25A6A" w:rsidP="00CE6F45">
      <w:pPr>
        <w:jc w:val="center"/>
        <w:rPr>
          <w:szCs w:val="18"/>
        </w:rPr>
      </w:pPr>
    </w:p>
    <w:sectPr w:rsidR="00B25A6A" w:rsidSect="001109EC">
      <w:headerReference w:type="default" r:id="rId9"/>
      <w:footerReference w:type="default" r:id="rId10"/>
      <w:pgSz w:w="15840" w:h="12240" w:orient="landscape"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805" w:rsidRDefault="00742805" w:rsidP="00EE1060">
      <w:pPr>
        <w:spacing w:after="0" w:line="240" w:lineRule="auto"/>
      </w:pPr>
      <w:r>
        <w:separator/>
      </w:r>
    </w:p>
  </w:endnote>
  <w:endnote w:type="continuationSeparator" w:id="0">
    <w:p w:rsidR="00742805" w:rsidRDefault="00742805"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EE1060" w:rsidRDefault="00D82820" w:rsidP="00F505E7">
            <w:pPr>
              <w:pStyle w:val="Footer"/>
              <w:tabs>
                <w:tab w:val="clear" w:pos="4680"/>
                <w:tab w:val="clear" w:pos="9360"/>
                <w:tab w:val="right" w:pos="14400"/>
              </w:tabs>
            </w:pPr>
            <w:r>
              <w:t>01/31/17</w:t>
            </w:r>
            <w:r w:rsidR="00EE1060">
              <w:tab/>
              <w:t xml:space="preserve">Page </w:t>
            </w:r>
            <w:r w:rsidR="00EE1060">
              <w:rPr>
                <w:b/>
                <w:bCs/>
                <w:sz w:val="24"/>
                <w:szCs w:val="24"/>
              </w:rPr>
              <w:fldChar w:fldCharType="begin"/>
            </w:r>
            <w:r w:rsidR="00EE1060">
              <w:rPr>
                <w:b/>
                <w:bCs/>
              </w:rPr>
              <w:instrText xml:space="preserve"> PAGE </w:instrText>
            </w:r>
            <w:r w:rsidR="00EE1060">
              <w:rPr>
                <w:b/>
                <w:bCs/>
                <w:sz w:val="24"/>
                <w:szCs w:val="24"/>
              </w:rPr>
              <w:fldChar w:fldCharType="separate"/>
            </w:r>
            <w:r w:rsidR="006F5B18">
              <w:rPr>
                <w:b/>
                <w:bCs/>
                <w:noProof/>
              </w:rPr>
              <w:t>1</w:t>
            </w:r>
            <w:r w:rsidR="00EE1060">
              <w:rPr>
                <w:b/>
                <w:bCs/>
                <w:sz w:val="24"/>
                <w:szCs w:val="24"/>
              </w:rPr>
              <w:fldChar w:fldCharType="end"/>
            </w:r>
            <w:r w:rsidR="00EE1060">
              <w:t xml:space="preserve"> of </w:t>
            </w:r>
            <w:r w:rsidR="00EE1060">
              <w:rPr>
                <w:b/>
                <w:bCs/>
                <w:sz w:val="24"/>
                <w:szCs w:val="24"/>
              </w:rPr>
              <w:fldChar w:fldCharType="begin"/>
            </w:r>
            <w:r w:rsidR="00EE1060">
              <w:rPr>
                <w:b/>
                <w:bCs/>
              </w:rPr>
              <w:instrText xml:space="preserve"> NUMPAGES  </w:instrText>
            </w:r>
            <w:r w:rsidR="00EE1060">
              <w:rPr>
                <w:b/>
                <w:bCs/>
                <w:sz w:val="24"/>
                <w:szCs w:val="24"/>
              </w:rPr>
              <w:fldChar w:fldCharType="separate"/>
            </w:r>
            <w:r w:rsidR="006F5B18">
              <w:rPr>
                <w:b/>
                <w:bCs/>
                <w:noProof/>
              </w:rPr>
              <w:t>1</w:t>
            </w:r>
            <w:r w:rsidR="00EE1060">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805" w:rsidRDefault="00742805" w:rsidP="00EE1060">
      <w:pPr>
        <w:spacing w:after="0" w:line="240" w:lineRule="auto"/>
      </w:pPr>
      <w:r>
        <w:separator/>
      </w:r>
    </w:p>
  </w:footnote>
  <w:footnote w:type="continuationSeparator" w:id="0">
    <w:p w:rsidR="00742805" w:rsidRDefault="00742805"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028" w:rsidRPr="00F505E7" w:rsidRDefault="0060728F" w:rsidP="00F505E7">
    <w:pPr>
      <w:tabs>
        <w:tab w:val="right" w:pos="14400"/>
      </w:tabs>
      <w:spacing w:after="0"/>
      <w:jc w:val="center"/>
      <w:rPr>
        <w:b/>
        <w:sz w:val="20"/>
        <w:szCs w:val="20"/>
      </w:rPr>
    </w:pPr>
    <w:r>
      <w:rPr>
        <w:b/>
        <w:sz w:val="20"/>
        <w:szCs w:val="20"/>
      </w:rPr>
      <w:t>WASTE MANAGEMENT</w:t>
    </w:r>
  </w:p>
  <w:p w:rsidR="00D3117A" w:rsidRPr="000122FE" w:rsidRDefault="00AC1835" w:rsidP="000122FE">
    <w:pPr>
      <w:pStyle w:val="Header"/>
      <w:tabs>
        <w:tab w:val="clear" w:pos="4680"/>
        <w:tab w:val="clear" w:pos="9360"/>
      </w:tabs>
      <w:spacing w:after="120"/>
      <w:jc w:val="center"/>
      <w:rPr>
        <w:b/>
        <w:sz w:val="20"/>
        <w:szCs w:val="20"/>
      </w:rPr>
    </w:pPr>
    <w:r>
      <w:rPr>
        <w:b/>
        <w:sz w:val="20"/>
        <w:szCs w:val="20"/>
      </w:rPr>
      <w:t xml:space="preserve">MATERIAL </w:t>
    </w:r>
    <w:r w:rsidR="008804C2">
      <w:rPr>
        <w:b/>
        <w:sz w:val="20"/>
        <w:szCs w:val="20"/>
      </w:rPr>
      <w:t>USE</w:t>
    </w:r>
    <w:r w:rsidR="00F505E7" w:rsidRPr="00F505E7">
      <w:rPr>
        <w:b/>
        <w:sz w:val="20"/>
        <w:szCs w:val="20"/>
      </w:rPr>
      <w:t xml:space="preserve">, </w:t>
    </w:r>
    <w:r w:rsidR="0060728F">
      <w:rPr>
        <w:b/>
        <w:sz w:val="20"/>
        <w:szCs w:val="20"/>
      </w:rPr>
      <w:t>WM</w:t>
    </w:r>
    <w:r w:rsidR="00F505E7" w:rsidRPr="00F505E7">
      <w:rPr>
        <w:b/>
        <w:sz w:val="20"/>
        <w:szCs w:val="20"/>
      </w:rPr>
      <w:t>-</w:t>
    </w:r>
    <w:r w:rsidR="008804C2">
      <w:rPr>
        <w:b/>
        <w:sz w:val="20"/>
        <w:szCs w:val="20"/>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22FE"/>
    <w:rsid w:val="00014EEA"/>
    <w:rsid w:val="00056645"/>
    <w:rsid w:val="000605BF"/>
    <w:rsid w:val="00070BAA"/>
    <w:rsid w:val="000C2851"/>
    <w:rsid w:val="000D3DDC"/>
    <w:rsid w:val="000E3C42"/>
    <w:rsid w:val="000E5851"/>
    <w:rsid w:val="000F1733"/>
    <w:rsid w:val="00100A9F"/>
    <w:rsid w:val="001109EC"/>
    <w:rsid w:val="001128E1"/>
    <w:rsid w:val="001361EB"/>
    <w:rsid w:val="00155795"/>
    <w:rsid w:val="001606D0"/>
    <w:rsid w:val="00160CC1"/>
    <w:rsid w:val="00183AD7"/>
    <w:rsid w:val="00196EC8"/>
    <w:rsid w:val="001A058F"/>
    <w:rsid w:val="001A42E7"/>
    <w:rsid w:val="001B31E8"/>
    <w:rsid w:val="001D297C"/>
    <w:rsid w:val="002119A7"/>
    <w:rsid w:val="00230028"/>
    <w:rsid w:val="002C26F3"/>
    <w:rsid w:val="002E3B19"/>
    <w:rsid w:val="002F7591"/>
    <w:rsid w:val="00303DC3"/>
    <w:rsid w:val="003277BE"/>
    <w:rsid w:val="00336588"/>
    <w:rsid w:val="00343251"/>
    <w:rsid w:val="00357042"/>
    <w:rsid w:val="003B2185"/>
    <w:rsid w:val="003E18CA"/>
    <w:rsid w:val="0041032A"/>
    <w:rsid w:val="00423068"/>
    <w:rsid w:val="004240A0"/>
    <w:rsid w:val="00435CE3"/>
    <w:rsid w:val="004429E7"/>
    <w:rsid w:val="00447A01"/>
    <w:rsid w:val="004550DA"/>
    <w:rsid w:val="00493B0B"/>
    <w:rsid w:val="004A565C"/>
    <w:rsid w:val="004D0146"/>
    <w:rsid w:val="004D05B4"/>
    <w:rsid w:val="004F4DF6"/>
    <w:rsid w:val="00554FCD"/>
    <w:rsid w:val="00577024"/>
    <w:rsid w:val="005A3EC9"/>
    <w:rsid w:val="005C2D55"/>
    <w:rsid w:val="0060019D"/>
    <w:rsid w:val="0060239C"/>
    <w:rsid w:val="0060728F"/>
    <w:rsid w:val="00616230"/>
    <w:rsid w:val="00622FBA"/>
    <w:rsid w:val="0062540E"/>
    <w:rsid w:val="00640ED9"/>
    <w:rsid w:val="00664BE4"/>
    <w:rsid w:val="00675C33"/>
    <w:rsid w:val="006A6281"/>
    <w:rsid w:val="006B626D"/>
    <w:rsid w:val="006C0691"/>
    <w:rsid w:val="006E4A7A"/>
    <w:rsid w:val="006F5B18"/>
    <w:rsid w:val="0071756B"/>
    <w:rsid w:val="00740EDB"/>
    <w:rsid w:val="00742805"/>
    <w:rsid w:val="00744F46"/>
    <w:rsid w:val="00753F0B"/>
    <w:rsid w:val="00761DE4"/>
    <w:rsid w:val="00776229"/>
    <w:rsid w:val="007D0045"/>
    <w:rsid w:val="007D7A0A"/>
    <w:rsid w:val="007E5424"/>
    <w:rsid w:val="00803054"/>
    <w:rsid w:val="008330A8"/>
    <w:rsid w:val="00835C8A"/>
    <w:rsid w:val="008541FC"/>
    <w:rsid w:val="008622D0"/>
    <w:rsid w:val="00864955"/>
    <w:rsid w:val="008804C2"/>
    <w:rsid w:val="008A6150"/>
    <w:rsid w:val="008B1D19"/>
    <w:rsid w:val="008B4348"/>
    <w:rsid w:val="008C5C5B"/>
    <w:rsid w:val="008F0900"/>
    <w:rsid w:val="00941FBD"/>
    <w:rsid w:val="00950727"/>
    <w:rsid w:val="00957C13"/>
    <w:rsid w:val="009A4402"/>
    <w:rsid w:val="009C270A"/>
    <w:rsid w:val="009D516B"/>
    <w:rsid w:val="009E2E10"/>
    <w:rsid w:val="009E5D32"/>
    <w:rsid w:val="009F0DF5"/>
    <w:rsid w:val="009F51C8"/>
    <w:rsid w:val="00A358C7"/>
    <w:rsid w:val="00A7700F"/>
    <w:rsid w:val="00A927D5"/>
    <w:rsid w:val="00AA06CC"/>
    <w:rsid w:val="00AB375E"/>
    <w:rsid w:val="00AC1835"/>
    <w:rsid w:val="00AC4D97"/>
    <w:rsid w:val="00B13C40"/>
    <w:rsid w:val="00B25A6A"/>
    <w:rsid w:val="00B457FA"/>
    <w:rsid w:val="00B55F29"/>
    <w:rsid w:val="00B56A50"/>
    <w:rsid w:val="00B61E23"/>
    <w:rsid w:val="00B6366C"/>
    <w:rsid w:val="00B91787"/>
    <w:rsid w:val="00BA0779"/>
    <w:rsid w:val="00BA0CD3"/>
    <w:rsid w:val="00BB3759"/>
    <w:rsid w:val="00BB4F30"/>
    <w:rsid w:val="00BC102E"/>
    <w:rsid w:val="00C03DAA"/>
    <w:rsid w:val="00C36452"/>
    <w:rsid w:val="00C4222C"/>
    <w:rsid w:val="00C530E8"/>
    <w:rsid w:val="00C85E98"/>
    <w:rsid w:val="00C85F7D"/>
    <w:rsid w:val="00C877BC"/>
    <w:rsid w:val="00C9306F"/>
    <w:rsid w:val="00CA36C8"/>
    <w:rsid w:val="00CD05F5"/>
    <w:rsid w:val="00CD69FF"/>
    <w:rsid w:val="00CE198B"/>
    <w:rsid w:val="00CE4043"/>
    <w:rsid w:val="00CE6F45"/>
    <w:rsid w:val="00CF5251"/>
    <w:rsid w:val="00D10396"/>
    <w:rsid w:val="00D3117A"/>
    <w:rsid w:val="00D82820"/>
    <w:rsid w:val="00DA1566"/>
    <w:rsid w:val="00DA2DC2"/>
    <w:rsid w:val="00DE6865"/>
    <w:rsid w:val="00DF12F6"/>
    <w:rsid w:val="00DF3C8A"/>
    <w:rsid w:val="00E12C05"/>
    <w:rsid w:val="00E56E76"/>
    <w:rsid w:val="00E60ABF"/>
    <w:rsid w:val="00EB731D"/>
    <w:rsid w:val="00EC65E2"/>
    <w:rsid w:val="00EE1060"/>
    <w:rsid w:val="00EE3866"/>
    <w:rsid w:val="00F20B7D"/>
    <w:rsid w:val="00F31D85"/>
    <w:rsid w:val="00F505E7"/>
    <w:rsid w:val="00F8190C"/>
    <w:rsid w:val="00F84E6A"/>
    <w:rsid w:val="00FB7C97"/>
    <w:rsid w:val="00FE7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6799">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109203617">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54886187">
      <w:bodyDiv w:val="1"/>
      <w:marLeft w:val="0"/>
      <w:marRight w:val="0"/>
      <w:marTop w:val="0"/>
      <w:marBottom w:val="0"/>
      <w:divBdr>
        <w:top w:val="none" w:sz="0" w:space="0" w:color="auto"/>
        <w:left w:val="none" w:sz="0" w:space="0" w:color="auto"/>
        <w:bottom w:val="none" w:sz="0" w:space="0" w:color="auto"/>
        <w:right w:val="none" w:sz="0" w:space="0" w:color="auto"/>
      </w:divBdr>
    </w:div>
    <w:div w:id="20664615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6359720">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34439871">
      <w:bodyDiv w:val="1"/>
      <w:marLeft w:val="0"/>
      <w:marRight w:val="0"/>
      <w:marTop w:val="0"/>
      <w:marBottom w:val="0"/>
      <w:divBdr>
        <w:top w:val="none" w:sz="0" w:space="0" w:color="auto"/>
        <w:left w:val="none" w:sz="0" w:space="0" w:color="auto"/>
        <w:bottom w:val="none" w:sz="0" w:space="0" w:color="auto"/>
        <w:right w:val="none" w:sz="0" w:space="0" w:color="auto"/>
      </w:divBdr>
    </w:div>
    <w:div w:id="240456051">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52786841">
      <w:bodyDiv w:val="1"/>
      <w:marLeft w:val="0"/>
      <w:marRight w:val="0"/>
      <w:marTop w:val="0"/>
      <w:marBottom w:val="0"/>
      <w:divBdr>
        <w:top w:val="none" w:sz="0" w:space="0" w:color="auto"/>
        <w:left w:val="none" w:sz="0" w:space="0" w:color="auto"/>
        <w:bottom w:val="none" w:sz="0" w:space="0" w:color="auto"/>
        <w:right w:val="none" w:sz="0" w:space="0" w:color="auto"/>
      </w:divBdr>
    </w:div>
    <w:div w:id="262609923">
      <w:bodyDiv w:val="1"/>
      <w:marLeft w:val="0"/>
      <w:marRight w:val="0"/>
      <w:marTop w:val="0"/>
      <w:marBottom w:val="0"/>
      <w:divBdr>
        <w:top w:val="none" w:sz="0" w:space="0" w:color="auto"/>
        <w:left w:val="none" w:sz="0" w:space="0" w:color="auto"/>
        <w:bottom w:val="none" w:sz="0" w:space="0" w:color="auto"/>
        <w:right w:val="none" w:sz="0" w:space="0" w:color="auto"/>
      </w:divBdr>
    </w:div>
    <w:div w:id="289018951">
      <w:bodyDiv w:val="1"/>
      <w:marLeft w:val="0"/>
      <w:marRight w:val="0"/>
      <w:marTop w:val="0"/>
      <w:marBottom w:val="0"/>
      <w:divBdr>
        <w:top w:val="none" w:sz="0" w:space="0" w:color="auto"/>
        <w:left w:val="none" w:sz="0" w:space="0" w:color="auto"/>
        <w:bottom w:val="none" w:sz="0" w:space="0" w:color="auto"/>
        <w:right w:val="none" w:sz="0" w:space="0" w:color="auto"/>
      </w:divBdr>
    </w:div>
    <w:div w:id="294219051">
      <w:bodyDiv w:val="1"/>
      <w:marLeft w:val="0"/>
      <w:marRight w:val="0"/>
      <w:marTop w:val="0"/>
      <w:marBottom w:val="0"/>
      <w:divBdr>
        <w:top w:val="none" w:sz="0" w:space="0" w:color="auto"/>
        <w:left w:val="none" w:sz="0" w:space="0" w:color="auto"/>
        <w:bottom w:val="none" w:sz="0" w:space="0" w:color="auto"/>
        <w:right w:val="none" w:sz="0" w:space="0" w:color="auto"/>
      </w:divBdr>
    </w:div>
    <w:div w:id="303463825">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418412223">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5464975">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88908552">
      <w:bodyDiv w:val="1"/>
      <w:marLeft w:val="0"/>
      <w:marRight w:val="0"/>
      <w:marTop w:val="0"/>
      <w:marBottom w:val="0"/>
      <w:divBdr>
        <w:top w:val="none" w:sz="0" w:space="0" w:color="auto"/>
        <w:left w:val="none" w:sz="0" w:space="0" w:color="auto"/>
        <w:bottom w:val="none" w:sz="0" w:space="0" w:color="auto"/>
        <w:right w:val="none" w:sz="0" w:space="0" w:color="auto"/>
      </w:divBdr>
    </w:div>
    <w:div w:id="490103419">
      <w:bodyDiv w:val="1"/>
      <w:marLeft w:val="0"/>
      <w:marRight w:val="0"/>
      <w:marTop w:val="0"/>
      <w:marBottom w:val="0"/>
      <w:divBdr>
        <w:top w:val="none" w:sz="0" w:space="0" w:color="auto"/>
        <w:left w:val="none" w:sz="0" w:space="0" w:color="auto"/>
        <w:bottom w:val="none" w:sz="0" w:space="0" w:color="auto"/>
        <w:right w:val="none" w:sz="0" w:space="0" w:color="auto"/>
      </w:divBdr>
    </w:div>
    <w:div w:id="533662799">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84412204">
      <w:bodyDiv w:val="1"/>
      <w:marLeft w:val="0"/>
      <w:marRight w:val="0"/>
      <w:marTop w:val="0"/>
      <w:marBottom w:val="0"/>
      <w:divBdr>
        <w:top w:val="none" w:sz="0" w:space="0" w:color="auto"/>
        <w:left w:val="none" w:sz="0" w:space="0" w:color="auto"/>
        <w:bottom w:val="none" w:sz="0" w:space="0" w:color="auto"/>
        <w:right w:val="none" w:sz="0" w:space="0" w:color="auto"/>
      </w:divBdr>
    </w:div>
    <w:div w:id="638190785">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3144774">
      <w:bodyDiv w:val="1"/>
      <w:marLeft w:val="0"/>
      <w:marRight w:val="0"/>
      <w:marTop w:val="0"/>
      <w:marBottom w:val="0"/>
      <w:divBdr>
        <w:top w:val="none" w:sz="0" w:space="0" w:color="auto"/>
        <w:left w:val="none" w:sz="0" w:space="0" w:color="auto"/>
        <w:bottom w:val="none" w:sz="0" w:space="0" w:color="auto"/>
        <w:right w:val="none" w:sz="0" w:space="0" w:color="auto"/>
      </w:divBdr>
    </w:div>
    <w:div w:id="690105983">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32659139">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82016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2359207">
      <w:bodyDiv w:val="1"/>
      <w:marLeft w:val="0"/>
      <w:marRight w:val="0"/>
      <w:marTop w:val="0"/>
      <w:marBottom w:val="0"/>
      <w:divBdr>
        <w:top w:val="none" w:sz="0" w:space="0" w:color="auto"/>
        <w:left w:val="none" w:sz="0" w:space="0" w:color="auto"/>
        <w:bottom w:val="none" w:sz="0" w:space="0" w:color="auto"/>
        <w:right w:val="none" w:sz="0" w:space="0" w:color="auto"/>
      </w:divBdr>
    </w:div>
    <w:div w:id="844053405">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904875663">
      <w:bodyDiv w:val="1"/>
      <w:marLeft w:val="0"/>
      <w:marRight w:val="0"/>
      <w:marTop w:val="0"/>
      <w:marBottom w:val="0"/>
      <w:divBdr>
        <w:top w:val="none" w:sz="0" w:space="0" w:color="auto"/>
        <w:left w:val="none" w:sz="0" w:space="0" w:color="auto"/>
        <w:bottom w:val="none" w:sz="0" w:space="0" w:color="auto"/>
        <w:right w:val="none" w:sz="0" w:space="0" w:color="auto"/>
      </w:divBdr>
    </w:div>
    <w:div w:id="957374689">
      <w:bodyDiv w:val="1"/>
      <w:marLeft w:val="0"/>
      <w:marRight w:val="0"/>
      <w:marTop w:val="0"/>
      <w:marBottom w:val="0"/>
      <w:divBdr>
        <w:top w:val="none" w:sz="0" w:space="0" w:color="auto"/>
        <w:left w:val="none" w:sz="0" w:space="0" w:color="auto"/>
        <w:bottom w:val="none" w:sz="0" w:space="0" w:color="auto"/>
        <w:right w:val="none" w:sz="0" w:space="0" w:color="auto"/>
      </w:divBdr>
    </w:div>
    <w:div w:id="968123876">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80884427">
      <w:bodyDiv w:val="1"/>
      <w:marLeft w:val="0"/>
      <w:marRight w:val="0"/>
      <w:marTop w:val="0"/>
      <w:marBottom w:val="0"/>
      <w:divBdr>
        <w:top w:val="none" w:sz="0" w:space="0" w:color="auto"/>
        <w:left w:val="none" w:sz="0" w:space="0" w:color="auto"/>
        <w:bottom w:val="none" w:sz="0" w:space="0" w:color="auto"/>
        <w:right w:val="none" w:sz="0" w:space="0" w:color="auto"/>
      </w:divBdr>
    </w:div>
    <w:div w:id="987703923">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48994720">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266776">
      <w:bodyDiv w:val="1"/>
      <w:marLeft w:val="0"/>
      <w:marRight w:val="0"/>
      <w:marTop w:val="0"/>
      <w:marBottom w:val="0"/>
      <w:divBdr>
        <w:top w:val="none" w:sz="0" w:space="0" w:color="auto"/>
        <w:left w:val="none" w:sz="0" w:space="0" w:color="auto"/>
        <w:bottom w:val="none" w:sz="0" w:space="0" w:color="auto"/>
        <w:right w:val="none" w:sz="0" w:space="0" w:color="auto"/>
      </w:divBdr>
    </w:div>
    <w:div w:id="1070739338">
      <w:bodyDiv w:val="1"/>
      <w:marLeft w:val="0"/>
      <w:marRight w:val="0"/>
      <w:marTop w:val="0"/>
      <w:marBottom w:val="0"/>
      <w:divBdr>
        <w:top w:val="none" w:sz="0" w:space="0" w:color="auto"/>
        <w:left w:val="none" w:sz="0" w:space="0" w:color="auto"/>
        <w:bottom w:val="none" w:sz="0" w:space="0" w:color="auto"/>
        <w:right w:val="none" w:sz="0" w:space="0" w:color="auto"/>
      </w:divBdr>
    </w:div>
    <w:div w:id="1082531759">
      <w:bodyDiv w:val="1"/>
      <w:marLeft w:val="0"/>
      <w:marRight w:val="0"/>
      <w:marTop w:val="0"/>
      <w:marBottom w:val="0"/>
      <w:divBdr>
        <w:top w:val="none" w:sz="0" w:space="0" w:color="auto"/>
        <w:left w:val="none" w:sz="0" w:space="0" w:color="auto"/>
        <w:bottom w:val="none" w:sz="0" w:space="0" w:color="auto"/>
        <w:right w:val="none" w:sz="0" w:space="0" w:color="auto"/>
      </w:divBdr>
    </w:div>
    <w:div w:id="1091899792">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14595788">
      <w:bodyDiv w:val="1"/>
      <w:marLeft w:val="0"/>
      <w:marRight w:val="0"/>
      <w:marTop w:val="0"/>
      <w:marBottom w:val="0"/>
      <w:divBdr>
        <w:top w:val="none" w:sz="0" w:space="0" w:color="auto"/>
        <w:left w:val="none" w:sz="0" w:space="0" w:color="auto"/>
        <w:bottom w:val="none" w:sz="0" w:space="0" w:color="auto"/>
        <w:right w:val="none" w:sz="0" w:space="0" w:color="auto"/>
      </w:divBdr>
    </w:div>
    <w:div w:id="1116757357">
      <w:bodyDiv w:val="1"/>
      <w:marLeft w:val="0"/>
      <w:marRight w:val="0"/>
      <w:marTop w:val="0"/>
      <w:marBottom w:val="0"/>
      <w:divBdr>
        <w:top w:val="none" w:sz="0" w:space="0" w:color="auto"/>
        <w:left w:val="none" w:sz="0" w:space="0" w:color="auto"/>
        <w:bottom w:val="none" w:sz="0" w:space="0" w:color="auto"/>
        <w:right w:val="none" w:sz="0" w:space="0" w:color="auto"/>
      </w:divBdr>
    </w:div>
    <w:div w:id="1246721417">
      <w:bodyDiv w:val="1"/>
      <w:marLeft w:val="0"/>
      <w:marRight w:val="0"/>
      <w:marTop w:val="0"/>
      <w:marBottom w:val="0"/>
      <w:divBdr>
        <w:top w:val="none" w:sz="0" w:space="0" w:color="auto"/>
        <w:left w:val="none" w:sz="0" w:space="0" w:color="auto"/>
        <w:bottom w:val="none" w:sz="0" w:space="0" w:color="auto"/>
        <w:right w:val="none" w:sz="0" w:space="0" w:color="auto"/>
      </w:divBdr>
    </w:div>
    <w:div w:id="1281378698">
      <w:bodyDiv w:val="1"/>
      <w:marLeft w:val="0"/>
      <w:marRight w:val="0"/>
      <w:marTop w:val="0"/>
      <w:marBottom w:val="0"/>
      <w:divBdr>
        <w:top w:val="none" w:sz="0" w:space="0" w:color="auto"/>
        <w:left w:val="none" w:sz="0" w:space="0" w:color="auto"/>
        <w:bottom w:val="none" w:sz="0" w:space="0" w:color="auto"/>
        <w:right w:val="none" w:sz="0" w:space="0" w:color="auto"/>
      </w:divBdr>
    </w:div>
    <w:div w:id="1294482387">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6908614">
      <w:bodyDiv w:val="1"/>
      <w:marLeft w:val="0"/>
      <w:marRight w:val="0"/>
      <w:marTop w:val="0"/>
      <w:marBottom w:val="0"/>
      <w:divBdr>
        <w:top w:val="none" w:sz="0" w:space="0" w:color="auto"/>
        <w:left w:val="none" w:sz="0" w:space="0" w:color="auto"/>
        <w:bottom w:val="none" w:sz="0" w:space="0" w:color="auto"/>
        <w:right w:val="none" w:sz="0" w:space="0" w:color="auto"/>
      </w:divBdr>
    </w:div>
    <w:div w:id="1334187474">
      <w:bodyDiv w:val="1"/>
      <w:marLeft w:val="0"/>
      <w:marRight w:val="0"/>
      <w:marTop w:val="0"/>
      <w:marBottom w:val="0"/>
      <w:divBdr>
        <w:top w:val="none" w:sz="0" w:space="0" w:color="auto"/>
        <w:left w:val="none" w:sz="0" w:space="0" w:color="auto"/>
        <w:bottom w:val="none" w:sz="0" w:space="0" w:color="auto"/>
        <w:right w:val="none" w:sz="0" w:space="0" w:color="auto"/>
      </w:divBdr>
    </w:div>
    <w:div w:id="1347244207">
      <w:bodyDiv w:val="1"/>
      <w:marLeft w:val="0"/>
      <w:marRight w:val="0"/>
      <w:marTop w:val="0"/>
      <w:marBottom w:val="0"/>
      <w:divBdr>
        <w:top w:val="none" w:sz="0" w:space="0" w:color="auto"/>
        <w:left w:val="none" w:sz="0" w:space="0" w:color="auto"/>
        <w:bottom w:val="none" w:sz="0" w:space="0" w:color="auto"/>
        <w:right w:val="none" w:sz="0" w:space="0" w:color="auto"/>
      </w:divBdr>
    </w:div>
    <w:div w:id="1407535776">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26809091">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85508959">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97650462">
      <w:bodyDiv w:val="1"/>
      <w:marLeft w:val="0"/>
      <w:marRight w:val="0"/>
      <w:marTop w:val="0"/>
      <w:marBottom w:val="0"/>
      <w:divBdr>
        <w:top w:val="none" w:sz="0" w:space="0" w:color="auto"/>
        <w:left w:val="none" w:sz="0" w:space="0" w:color="auto"/>
        <w:bottom w:val="none" w:sz="0" w:space="0" w:color="auto"/>
        <w:right w:val="none" w:sz="0" w:space="0" w:color="auto"/>
      </w:divBdr>
    </w:div>
    <w:div w:id="1505438379">
      <w:bodyDiv w:val="1"/>
      <w:marLeft w:val="0"/>
      <w:marRight w:val="0"/>
      <w:marTop w:val="0"/>
      <w:marBottom w:val="0"/>
      <w:divBdr>
        <w:top w:val="none" w:sz="0" w:space="0" w:color="auto"/>
        <w:left w:val="none" w:sz="0" w:space="0" w:color="auto"/>
        <w:bottom w:val="none" w:sz="0" w:space="0" w:color="auto"/>
        <w:right w:val="none" w:sz="0" w:space="0" w:color="auto"/>
      </w:divBdr>
    </w:div>
    <w:div w:id="1528789765">
      <w:bodyDiv w:val="1"/>
      <w:marLeft w:val="0"/>
      <w:marRight w:val="0"/>
      <w:marTop w:val="0"/>
      <w:marBottom w:val="0"/>
      <w:divBdr>
        <w:top w:val="none" w:sz="0" w:space="0" w:color="auto"/>
        <w:left w:val="none" w:sz="0" w:space="0" w:color="auto"/>
        <w:bottom w:val="none" w:sz="0" w:space="0" w:color="auto"/>
        <w:right w:val="none" w:sz="0" w:space="0" w:color="auto"/>
      </w:divBdr>
    </w:div>
    <w:div w:id="1538349592">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57349434">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3297867">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625817438">
      <w:bodyDiv w:val="1"/>
      <w:marLeft w:val="0"/>
      <w:marRight w:val="0"/>
      <w:marTop w:val="0"/>
      <w:marBottom w:val="0"/>
      <w:divBdr>
        <w:top w:val="none" w:sz="0" w:space="0" w:color="auto"/>
        <w:left w:val="none" w:sz="0" w:space="0" w:color="auto"/>
        <w:bottom w:val="none" w:sz="0" w:space="0" w:color="auto"/>
        <w:right w:val="none" w:sz="0" w:space="0" w:color="auto"/>
      </w:divBdr>
    </w:div>
    <w:div w:id="1634480286">
      <w:bodyDiv w:val="1"/>
      <w:marLeft w:val="0"/>
      <w:marRight w:val="0"/>
      <w:marTop w:val="0"/>
      <w:marBottom w:val="0"/>
      <w:divBdr>
        <w:top w:val="none" w:sz="0" w:space="0" w:color="auto"/>
        <w:left w:val="none" w:sz="0" w:space="0" w:color="auto"/>
        <w:bottom w:val="none" w:sz="0" w:space="0" w:color="auto"/>
        <w:right w:val="none" w:sz="0" w:space="0" w:color="auto"/>
      </w:divBdr>
    </w:div>
    <w:div w:id="1643579762">
      <w:bodyDiv w:val="1"/>
      <w:marLeft w:val="0"/>
      <w:marRight w:val="0"/>
      <w:marTop w:val="0"/>
      <w:marBottom w:val="0"/>
      <w:divBdr>
        <w:top w:val="none" w:sz="0" w:space="0" w:color="auto"/>
        <w:left w:val="none" w:sz="0" w:space="0" w:color="auto"/>
        <w:bottom w:val="none" w:sz="0" w:space="0" w:color="auto"/>
        <w:right w:val="none" w:sz="0" w:space="0" w:color="auto"/>
      </w:divBdr>
    </w:div>
    <w:div w:id="1673218260">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8211003">
      <w:bodyDiv w:val="1"/>
      <w:marLeft w:val="0"/>
      <w:marRight w:val="0"/>
      <w:marTop w:val="0"/>
      <w:marBottom w:val="0"/>
      <w:divBdr>
        <w:top w:val="none" w:sz="0" w:space="0" w:color="auto"/>
        <w:left w:val="none" w:sz="0" w:space="0" w:color="auto"/>
        <w:bottom w:val="none" w:sz="0" w:space="0" w:color="auto"/>
        <w:right w:val="none" w:sz="0" w:space="0" w:color="auto"/>
      </w:divBdr>
    </w:div>
    <w:div w:id="1698236988">
      <w:bodyDiv w:val="1"/>
      <w:marLeft w:val="0"/>
      <w:marRight w:val="0"/>
      <w:marTop w:val="0"/>
      <w:marBottom w:val="0"/>
      <w:divBdr>
        <w:top w:val="none" w:sz="0" w:space="0" w:color="auto"/>
        <w:left w:val="none" w:sz="0" w:space="0" w:color="auto"/>
        <w:bottom w:val="none" w:sz="0" w:space="0" w:color="auto"/>
        <w:right w:val="none" w:sz="0" w:space="0" w:color="auto"/>
      </w:divBdr>
    </w:div>
    <w:div w:id="1723746297">
      <w:bodyDiv w:val="1"/>
      <w:marLeft w:val="0"/>
      <w:marRight w:val="0"/>
      <w:marTop w:val="0"/>
      <w:marBottom w:val="0"/>
      <w:divBdr>
        <w:top w:val="none" w:sz="0" w:space="0" w:color="auto"/>
        <w:left w:val="none" w:sz="0" w:space="0" w:color="auto"/>
        <w:bottom w:val="none" w:sz="0" w:space="0" w:color="auto"/>
        <w:right w:val="none" w:sz="0" w:space="0" w:color="auto"/>
      </w:divBdr>
    </w:div>
    <w:div w:id="1741247971">
      <w:bodyDiv w:val="1"/>
      <w:marLeft w:val="0"/>
      <w:marRight w:val="0"/>
      <w:marTop w:val="0"/>
      <w:marBottom w:val="0"/>
      <w:divBdr>
        <w:top w:val="none" w:sz="0" w:space="0" w:color="auto"/>
        <w:left w:val="none" w:sz="0" w:space="0" w:color="auto"/>
        <w:bottom w:val="none" w:sz="0" w:space="0" w:color="auto"/>
        <w:right w:val="none" w:sz="0" w:space="0" w:color="auto"/>
      </w:divBdr>
    </w:div>
    <w:div w:id="1780711347">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822696018">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908568791">
      <w:bodyDiv w:val="1"/>
      <w:marLeft w:val="0"/>
      <w:marRight w:val="0"/>
      <w:marTop w:val="0"/>
      <w:marBottom w:val="0"/>
      <w:divBdr>
        <w:top w:val="none" w:sz="0" w:space="0" w:color="auto"/>
        <w:left w:val="none" w:sz="0" w:space="0" w:color="auto"/>
        <w:bottom w:val="none" w:sz="0" w:space="0" w:color="auto"/>
        <w:right w:val="none" w:sz="0" w:space="0" w:color="auto"/>
      </w:divBdr>
    </w:div>
    <w:div w:id="1912154371">
      <w:bodyDiv w:val="1"/>
      <w:marLeft w:val="0"/>
      <w:marRight w:val="0"/>
      <w:marTop w:val="0"/>
      <w:marBottom w:val="0"/>
      <w:divBdr>
        <w:top w:val="none" w:sz="0" w:space="0" w:color="auto"/>
        <w:left w:val="none" w:sz="0" w:space="0" w:color="auto"/>
        <w:bottom w:val="none" w:sz="0" w:space="0" w:color="auto"/>
        <w:right w:val="none" w:sz="0" w:space="0" w:color="auto"/>
      </w:divBdr>
    </w:div>
    <w:div w:id="1915892845">
      <w:bodyDiv w:val="1"/>
      <w:marLeft w:val="0"/>
      <w:marRight w:val="0"/>
      <w:marTop w:val="0"/>
      <w:marBottom w:val="0"/>
      <w:divBdr>
        <w:top w:val="none" w:sz="0" w:space="0" w:color="auto"/>
        <w:left w:val="none" w:sz="0" w:space="0" w:color="auto"/>
        <w:bottom w:val="none" w:sz="0" w:space="0" w:color="auto"/>
        <w:right w:val="none" w:sz="0" w:space="0" w:color="auto"/>
      </w:divBdr>
    </w:div>
    <w:div w:id="1931154585">
      <w:bodyDiv w:val="1"/>
      <w:marLeft w:val="0"/>
      <w:marRight w:val="0"/>
      <w:marTop w:val="0"/>
      <w:marBottom w:val="0"/>
      <w:divBdr>
        <w:top w:val="none" w:sz="0" w:space="0" w:color="auto"/>
        <w:left w:val="none" w:sz="0" w:space="0" w:color="auto"/>
        <w:bottom w:val="none" w:sz="0" w:space="0" w:color="auto"/>
        <w:right w:val="none" w:sz="0" w:space="0" w:color="auto"/>
      </w:divBdr>
    </w:div>
    <w:div w:id="1973628714">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2057076264">
      <w:bodyDiv w:val="1"/>
      <w:marLeft w:val="0"/>
      <w:marRight w:val="0"/>
      <w:marTop w:val="0"/>
      <w:marBottom w:val="0"/>
      <w:divBdr>
        <w:top w:val="none" w:sz="0" w:space="0" w:color="auto"/>
        <w:left w:val="none" w:sz="0" w:space="0" w:color="auto"/>
        <w:bottom w:val="none" w:sz="0" w:space="0" w:color="auto"/>
        <w:right w:val="none" w:sz="0" w:space="0" w:color="auto"/>
      </w:divBdr>
    </w:div>
    <w:div w:id="2076664419">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83CD3-B346-49CA-834C-94B8E47D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7</cp:revision>
  <cp:lastPrinted>2014-03-11T16:55:00Z</cp:lastPrinted>
  <dcterms:created xsi:type="dcterms:W3CDTF">2017-03-21T02:44:00Z</dcterms:created>
  <dcterms:modified xsi:type="dcterms:W3CDTF">2017-04-04T23:21:00Z</dcterms:modified>
</cp:coreProperties>
</file>