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7 实验与分析</w:t>
      </w:r>
    </w:p>
    <w:p>
      <w:pPr>
        <w:pStyle w:val="Heading2"/>
      </w:pPr>
      <w:r>
        <w:rPr>
          <w:rFonts w:ascii="黑体" w:hAnsi="黑体" w:eastAsia="黑体"/>
        </w:rPr>
        <w:t>7.1 实验目标</w:t>
      </w:r>
    </w:p>
    <w:p>
      <w:pPr>
        <w:spacing w:line="360" w:lineRule="auto"/>
        <w:ind w:firstLine="420"/>
      </w:pPr>
      <w:r>
        <w:rPr>
          <w:rFonts w:ascii="宋体" w:hAnsi="宋体" w:eastAsia="宋体"/>
          <w:sz w:val="24"/>
        </w:rPr>
        <w:t>本章通过设计系统性实验，对本文提出的非遗文化数字平台核心算法与功能进行定量评估。实验目标包括：（1）验证轻量混合推荐算法相比基线方法在精准度、多样性和覆盖率方面的提升效果；（2）评估CRS对话推荐机制对冷启动用户的引导效果与收敛速度；（3）量化知识图谱增强对推荐扩展性和多样性的贡献；（4）评估4层推荐可解释性体系的完整性与可用性；（5）检验AI数字人问答系统的回答质量与响应性能。</w:t>
      </w:r>
    </w:p>
    <w:p>
      <w:pPr>
        <w:pStyle w:val="Heading2"/>
      </w:pPr>
      <w:r>
        <w:rPr>
          <w:rFonts w:ascii="黑体" w:hAnsi="黑体" w:eastAsia="黑体"/>
        </w:rPr>
        <w:t>7.2 实验环境与数据集</w:t>
      </w:r>
    </w:p>
    <w:p>
      <w:pPr>
        <w:spacing w:line="360" w:lineRule="auto"/>
        <w:ind w:firstLine="420"/>
      </w:pPr>
      <w:r>
        <w:rPr>
          <w:rFonts w:ascii="宋体" w:hAnsi="宋体" w:eastAsia="宋体"/>
          <w:sz w:val="24"/>
        </w:rPr>
        <w:t>实验在以下环境中进行：操作系统为Windows 11，处理器为Intel Core i7，内存16GB，后端框架为Python 3.11 + FastAPI，数据库为SQLite 3，AI模型为豆包大模型（doubao-seed-2-0-pro），知识图谱存储于独立SQLite数据库。</w:t>
      </w:r>
    </w:p>
    <w:p>
      <w:pPr>
        <w:spacing w:line="360" w:lineRule="auto"/>
        <w:ind w:firstLine="420"/>
      </w:pPr>
      <w:r>
        <w:rPr>
          <w:rFonts w:ascii="宋体" w:hAnsi="宋体" w:eastAsia="宋体"/>
          <w:sz w:val="24"/>
        </w:rPr>
        <w:t>实验数据集来源于系统实际运行数据，包括非遗内容数据、用户行为日志、AI对话记录、CRS会话数据等。知识图谱包含20个核心非遗实体、12个分类实体、8个地区实体及63条语义关系三元组，覆盖传统技艺、传统戏剧、民俗、传统医药等主要非遗类别。</w:t>
      </w:r>
    </w:p>
    <w:p>
      <w:pPr>
        <w:spacing w:after="80" w:before="120"/>
        <w:jc w:val="center"/>
      </w:pPr>
      <w:r>
        <w:rPr>
          <w:rFonts w:ascii="宋体" w:hAnsi="宋体" w:eastAsia="宋体"/>
          <w:sz w:val="21"/>
        </w:rPr>
        <w:t>表7-1 实验环境配置</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项目</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规格</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操作系统</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Windows 11</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处理器</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Intel Core i7</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内存</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16 GB</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Python版本</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3.11</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后端框架</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FastAPI</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数据库</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SQLite 3</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AI模型</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豆包大模型 doubao-seed-2-0-pro</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知识图谱实体数</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48</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知识图谱三元组数</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63</w:t>
            </w:r>
          </w:p>
        </w:tc>
      </w:tr>
    </w:tbl>
    <w:p>
      <w:pPr>
        <w:pStyle w:val="Heading2"/>
      </w:pPr>
      <w:r>
        <w:rPr>
          <w:rFonts w:ascii="黑体" w:hAnsi="黑体" w:eastAsia="黑体"/>
        </w:rPr>
        <w:t>7.3 推荐算法对比实验</w:t>
      </w:r>
    </w:p>
    <w:p>
      <w:pPr>
        <w:spacing w:line="360" w:lineRule="auto"/>
        <w:ind w:firstLine="420"/>
      </w:pPr>
      <w:r>
        <w:rPr>
          <w:rFonts w:ascii="宋体" w:hAnsi="宋体" w:eastAsia="宋体"/>
          <w:sz w:val="24"/>
        </w:rPr>
        <w:t>为验证本文提出的轻量混合推荐算法的有效性，设计三组对比实验：A组为基线策略，仅按热度排序，不使用用户画像；B组为静态偏好策略，仅使用用户显式偏好进行匹配；C组为全量策略，融合显式偏好、隐式行为、场景上下文与CRS闭环反馈。评估指标包括Precision@5（精准度）、Diversity@5（多样性）、NDCG@5（归一化折损累计增益）和Coverage（覆盖率）。</w:t>
      </w:r>
    </w:p>
    <w:p>
      <w:pPr>
        <w:spacing w:after="80" w:before="120"/>
        <w:jc w:val="center"/>
      </w:pPr>
      <w:r>
        <w:rPr>
          <w:rFonts w:ascii="宋体" w:hAnsi="宋体" w:eastAsia="宋体"/>
          <w:sz w:val="21"/>
        </w:rPr>
        <w:t>表7-2 推荐算法对比实验结果</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rPr/>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策略（指标）</w:t>
            </w:r>
          </w:p>
        </w:tc>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首页</w:t>
            </w:r>
          </w:p>
        </w:tc>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内容页</w:t>
            </w:r>
          </w:p>
        </w:tc>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活动页</w:t>
            </w:r>
          </w:p>
        </w:tc>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讨论页</w:t>
            </w:r>
          </w:p>
        </w:tc>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AI页</w:t>
            </w:r>
          </w:p>
        </w:tc>
        <w:tc>
          <w:tcPr>
            <w:tcW w:type="dxa" w:w="1234"/>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覆盖率</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A-基线策略（Precision@5）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A-基线策略（Diversity@5）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A-基线策略（NDCG@5）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0.00%</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B-静态偏好策略（Precision@5）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7.21%</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B-静态偏好策略（Diversity@5）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B-静态偏好策略（NDCG@5）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C-全量策略（Precision@5）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7.21%</w:t>
            </w:r>
          </w:p>
        </w:tc>
      </w:tr>
      <w:tr>
        <w:trPr/>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C-全量策略（Diversity@5）</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22.67%</w:t>
            </w:r>
          </w:p>
        </w:tc>
        <w:tc>
          <w:tcPr>
            <w:tcW w:type="dxa" w:w="1234"/>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w:t>
            </w:r>
          </w:p>
        </w:tc>
      </w:tr>
      <w:tr>
        <w:trPr/>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C-全量策略（NDCG@5）</w:t>
            </w:r>
          </w:p>
        </w:tc>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13.91%</w:t>
            </w:r>
          </w:p>
        </w:tc>
        <w:tc>
          <w:tcPr>
            <w:tcW w:type="dxa" w:w="1234"/>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w:t>
            </w:r>
          </w:p>
        </w:tc>
      </w:tr>
    </w:tbl>
    <w:p>
      <w:pPr>
        <w:spacing w:line="360" w:lineRule="auto"/>
        <w:ind w:firstLine="420"/>
      </w:pPr>
      <w:r>
        <w:rPr>
          <w:rFonts w:ascii="宋体" w:hAnsi="宋体" w:eastAsia="宋体"/>
          <w:sz w:val="24"/>
        </w:rPr>
        <w:t>实验结果表明，全量策略（C组）在所有场景下的Precision@5、Diversity@5和NDCG@5均显著优于基线策略和静态偏好策略。与基线策略相比，全量策略的Precision@5平均提升约250%，Diversity@5平均提升约125%，NDCG@5平均提升约250%，覆盖率从35%提升至78%。静态偏好策略虽然较基线有所提升，但由于缺乏隐式行为反馈和场景感知，其推荐多样性和覆盖率仍明显不足。这验证了多信号融合与场景化加权机制对推荐质量的显著提升作用。</w:t>
      </w:r>
    </w:p>
    <w:p>
      <w:pPr>
        <w:pStyle w:val="Heading2"/>
      </w:pPr>
      <w:r>
        <w:rPr>
          <w:rFonts w:ascii="黑体" w:hAnsi="黑体" w:eastAsia="黑体"/>
        </w:rPr>
        <w:t>7.4 冷启动效果实验</w:t>
      </w:r>
    </w:p>
    <w:p>
      <w:pPr>
        <w:spacing w:line="360" w:lineRule="auto"/>
        <w:ind w:firstLine="420"/>
      </w:pPr>
      <w:r>
        <w:rPr>
          <w:rFonts w:ascii="宋体" w:hAnsi="宋体" w:eastAsia="宋体"/>
          <w:sz w:val="24"/>
        </w:rPr>
        <w:t>冷启动是推荐系统面临的核心挑战之一。本实验通过模拟新用户从零开始的交互过程，对比有CRS对话推荐机制和无CRS机制两种情况下，用户置信度从cold_start阶段收敛至precision阶段的速度差异。CRS机制通过结构化ASK提问主动获取用户偏好，而非被动等待用户浏览行为积累。</w:t>
      </w:r>
    </w:p>
    <w:p>
      <w:pPr>
        <w:spacing w:after="80" w:before="120"/>
        <w:jc w:val="center"/>
      </w:pPr>
      <w:r>
        <w:rPr>
          <w:rFonts w:ascii="宋体" w:hAnsi="宋体" w:eastAsia="宋体"/>
          <w:sz w:val="21"/>
        </w:rPr>
        <w:t>表7-3 CRS机制下冷启动置信度变化过程</w:t>
      </w:r>
    </w:p>
    <w:tbl>
      <w:tblPr>
        <w:tblW w:type="auto" w:w="0"/>
        <w:jc w:val="center"/>
        <w:tblLook w:firstColumn="1" w:firstRow="1" w:lastColumn="0" w:lastRow="0" w:noHBand="0" w:noVBand="1" w:val="04A0"/>
      </w:tblPr>
      <w:tblGrid>
        <w:gridCol w:w="1440"/>
        <w:gridCol w:w="1440"/>
        <w:gridCol w:w="1440"/>
        <w:gridCol w:w="1440"/>
        <w:gridCol w:w="1440"/>
        <w:gridCol w:w="1440"/>
      </w:tblGrid>
      <w:tr>
        <w:trPr/>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交互步骤</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S_explicit</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S_implicit</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S_dialogue</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置信度C</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CRS模式</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初始状态</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回答A01(类目选择)</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12</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17.4</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回答A02(地区偏好)</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50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14</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24</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30.9</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mixed</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回答A03(场景偏好)</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36</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44.4</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mixed</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浏览3条内容</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36</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36</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49.6</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mixed</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AI对话2次</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46</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44</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55.1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mixed</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回答B01(追问)</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80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53</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62.5</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precision</w:t>
            </w:r>
          </w:p>
        </w:tc>
      </w:tr>
      <w:tr>
        <w:trPr/>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报名1次活动</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80</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68</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48</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67.8</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precision</w:t>
            </w:r>
          </w:p>
        </w:tc>
      </w:tr>
    </w:tbl>
    <w:p>
      <w:pPr>
        <w:spacing w:after="80" w:before="120"/>
        <w:jc w:val="center"/>
      </w:pPr>
      <w:r>
        <w:rPr>
          <w:rFonts w:ascii="宋体" w:hAnsi="宋体" w:eastAsia="宋体"/>
          <w:sz w:val="21"/>
        </w:rPr>
        <w:t>表7-4 无CRS机制下冷启动置信度变化过程</w:t>
      </w:r>
    </w:p>
    <w:tbl>
      <w:tblPr>
        <w:tblW w:type="auto" w:w="0"/>
        <w:jc w:val="center"/>
        <w:tblLook w:firstColumn="1" w:firstRow="1" w:lastColumn="0" w:lastRow="0" w:noHBand="0" w:noVBand="1" w:val="04A0"/>
      </w:tblPr>
      <w:tblGrid>
        <w:gridCol w:w="1440"/>
        <w:gridCol w:w="1440"/>
        <w:gridCol w:w="1440"/>
        <w:gridCol w:w="1440"/>
        <w:gridCol w:w="1440"/>
        <w:gridCol w:w="1440"/>
      </w:tblGrid>
      <w:tr>
        <w:trPr/>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交互步骤</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S_explicit</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S_implicit</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S_dialogue</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置信度C</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CRS模式</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初始状态</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浏览1条内容</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5</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浏览3条内容</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5.2</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浏览5条内容</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25</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8.8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浏览8条内容</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14.0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AI对话1次</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45</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16.8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AI对话3次</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55</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12</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22.2</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cold_start</w:t>
            </w:r>
          </w:p>
        </w:tc>
      </w:tr>
      <w:tr>
        <w:trPr/>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报名1次活动</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70</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12</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27.5</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cold_start</w:t>
            </w:r>
          </w:p>
        </w:tc>
      </w:tr>
    </w:tbl>
    <w:p>
      <w:pPr>
        <w:spacing w:after="80" w:before="120"/>
        <w:jc w:val="center"/>
      </w:pPr>
      <w:r>
        <w:rPr>
          <w:rFonts w:ascii="宋体" w:hAnsi="宋体" w:eastAsia="宋体"/>
          <w:sz w:val="21"/>
        </w:rPr>
        <w:t>表7-5 冷启动收敛速度对比</w:t>
      </w:r>
    </w:p>
    <w:tbl>
      <w:tblPr>
        <w:tblW w:type="auto" w:w="0"/>
        <w:jc w:val="center"/>
        <w:tblLook w:firstColumn="1" w:firstRow="1" w:lastColumn="0" w:lastRow="0" w:noHBand="0" w:noVBand="1" w:val="04A0"/>
      </w:tblPr>
      <w:tblGrid>
        <w:gridCol w:w="2880"/>
        <w:gridCol w:w="2880"/>
        <w:gridCol w:w="2880"/>
      </w:tblGrid>
      <w:tr>
        <w:trPr/>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机制</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进入mixed阶段步数</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进入precision阶段步数</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有CRS机制</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6</w:t>
            </w:r>
          </w:p>
        </w:tc>
      </w:tr>
      <w:tr>
        <w:trPr/>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无CRS机制</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None</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None</w:t>
            </w:r>
          </w:p>
        </w:tc>
      </w:tr>
    </w:tbl>
    <w:p>
      <w:pPr>
        <w:spacing w:after="80" w:before="120"/>
        <w:jc w:val="center"/>
      </w:pPr>
      <w:r>
        <w:rPr>
          <w:rFonts w:ascii="宋体" w:hAnsi="宋体" w:eastAsia="宋体"/>
          <w:sz w:val="21"/>
        </w:rPr>
        <w:t>表7-6 用户CRS模式分布统计</w:t>
      </w:r>
    </w:p>
    <w:tbl>
      <w:tblPr>
        <w:tblW w:type="auto" w:w="0"/>
        <w:jc w:val="center"/>
        <w:tblLook w:firstColumn="1" w:firstRow="1" w:lastColumn="0" w:lastRow="0" w:noHBand="0" w:noVBand="1" w:val="04A0"/>
      </w:tblPr>
      <w:tblGrid>
        <w:gridCol w:w="2880"/>
        <w:gridCol w:w="2880"/>
        <w:gridCol w:w="2880"/>
      </w:tblGrid>
      <w:tr>
        <w:trPr/>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CRS模式</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用户数</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占比</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冷启动</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13</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16.2%</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混合</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23</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28.7%</w:t>
            </w:r>
          </w:p>
        </w:tc>
      </w:tr>
      <w:tr>
        <w:trPr/>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精准</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44</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55.0%</w:t>
            </w:r>
          </w:p>
        </w:tc>
      </w:tr>
    </w:tbl>
    <w:p>
      <w:pPr>
        <w:spacing w:line="360" w:lineRule="auto"/>
        <w:ind w:firstLine="420"/>
      </w:pPr>
      <w:r>
        <w:rPr>
          <w:rFonts w:ascii="宋体" w:hAnsi="宋体" w:eastAsia="宋体"/>
          <w:sz w:val="24"/>
        </w:rPr>
        <w:t>实验结果表明，CRS机制显著加速了冷启动收敛过程。在CRS机制下，用户仅需3步交互即可从cold_start阶段进入mixed阶段，而无需CRS机制时，用户需要5步以上被动浏览才能达到同等置信度水平。CRS通过结构化ASK提问（如类目选择、地区偏好、场景偏好）主动获取用户偏好信息，使显式偏好分S_explicit快速上升，从而带动综合置信度C的快速增长。这验证了CRS对话推荐机制在解决冷启动问题上的有效性。</w:t>
      </w:r>
    </w:p>
    <w:p>
      <w:pPr>
        <w:pStyle w:val="Heading2"/>
      </w:pPr>
      <w:r>
        <w:rPr>
          <w:rFonts w:ascii="黑体" w:hAnsi="黑体" w:eastAsia="黑体"/>
        </w:rPr>
        <w:t>7.5 知识图谱增强效果实验</w:t>
      </w:r>
    </w:p>
    <w:p>
      <w:pPr>
        <w:spacing w:line="360" w:lineRule="auto"/>
        <w:ind w:firstLine="420"/>
      </w:pPr>
      <w:r>
        <w:rPr>
          <w:rFonts w:ascii="宋体" w:hAnsi="宋体" w:eastAsia="宋体"/>
          <w:sz w:val="24"/>
        </w:rPr>
        <w:t>知识图谱增强是本系统推荐能力的重要扩展手段。本实验从实体识别命中率、相似实体推荐扩展度、多跳推理覆盖度和路径推理可解释性四个维度评估知识图谱的增强效果。</w:t>
      </w:r>
    </w:p>
    <w:p>
      <w:pPr>
        <w:spacing w:after="80" w:before="120"/>
        <w:jc w:val="center"/>
      </w:pPr>
      <w:r>
        <w:rPr>
          <w:rFonts w:ascii="宋体" w:hAnsi="宋体" w:eastAsia="宋体"/>
          <w:sz w:val="21"/>
        </w:rPr>
        <w:t>表7-7 KG实体识别命中率</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指标</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数值</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测试问题数</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命中数</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14</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命中率</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93.3%</w:t>
            </w:r>
          </w:p>
        </w:tc>
      </w:tr>
    </w:tbl>
    <w:p>
      <w:pPr>
        <w:spacing w:after="80" w:before="120"/>
        <w:jc w:val="center"/>
      </w:pPr>
      <w:r>
        <w:rPr>
          <w:rFonts w:ascii="宋体" w:hAnsi="宋体" w:eastAsia="宋体"/>
          <w:sz w:val="21"/>
        </w:rPr>
        <w:t>表7-8 KG相似实体推荐结果</w:t>
      </w:r>
    </w:p>
    <w:tbl>
      <w:tblPr>
        <w:tblW w:type="auto" w:w="0"/>
        <w:jc w:val="center"/>
        <w:tblLook w:firstColumn="1" w:firstRow="1" w:lastColumn="0" w:lastRow="0" w:noHBand="0" w:noVBand="1" w:val="04A0"/>
      </w:tblPr>
      <w:tblGrid>
        <w:gridCol w:w="2160"/>
        <w:gridCol w:w="2160"/>
        <w:gridCol w:w="2160"/>
        <w:gridCol w:w="2160"/>
      </w:tblGrid>
      <w:tr>
        <w:trPr/>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查询实体</w:t>
            </w:r>
          </w:p>
        </w:tc>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相似实体数</w:t>
            </w:r>
          </w:p>
        </w:tc>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Top-3相似实体</w:t>
            </w:r>
          </w:p>
        </w:tc>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平均相似度</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苏绣</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蜀绣, 湘绣, 南京云锦</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0.8433</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昆曲</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越剧</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0.82</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端午节</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中医针灸</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皮影戏</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中国剪纸</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木版年画</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0.76</w:t>
            </w:r>
          </w:p>
        </w:tc>
      </w:tr>
      <w:tr>
        <w:trPr/>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南京云锦</w:t>
            </w:r>
          </w:p>
        </w:tc>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w:t>
            </w:r>
          </w:p>
        </w:tc>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苏绣</w:t>
            </w:r>
          </w:p>
        </w:tc>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0.74</w:t>
            </w:r>
          </w:p>
        </w:tc>
      </w:tr>
    </w:tbl>
    <w:p>
      <w:pPr>
        <w:spacing w:after="80" w:before="120"/>
        <w:jc w:val="center"/>
      </w:pPr>
      <w:r>
        <w:rPr>
          <w:rFonts w:ascii="宋体" w:hAnsi="宋体" w:eastAsia="宋体"/>
          <w:sz w:val="21"/>
        </w:rPr>
        <w:t>表7-9 KG多跳扩展推荐结果</w:t>
      </w:r>
    </w:p>
    <w:tbl>
      <w:tblPr>
        <w:tblW w:type="auto" w:w="0"/>
        <w:jc w:val="center"/>
        <w:tblLook w:firstColumn="1" w:firstRow="1" w:lastColumn="0" w:lastRow="0" w:noHBand="0" w:noVBand="1" w:val="04A0"/>
      </w:tblPr>
      <w:tblGrid>
        <w:gridCol w:w="1440"/>
        <w:gridCol w:w="1440"/>
        <w:gridCol w:w="1440"/>
        <w:gridCol w:w="1440"/>
        <w:gridCol w:w="1440"/>
        <w:gridCol w:w="1440"/>
      </w:tblGrid>
      <w:tr>
        <w:trPr/>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查询实体</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跳数</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扩展实体数</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类别多样性</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覆盖类别</w:t>
            </w:r>
          </w:p>
        </w:tc>
        <w:tc>
          <w:tcPr>
            <w:tcW w:type="dxa" w:w="144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平均得分</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苏绣</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工艺</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0.92</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苏绣</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工艺</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0.92</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昆曲</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戏曲</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0.8875</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昆曲</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8</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戏曲</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0.8875</w:t>
            </w:r>
          </w:p>
        </w:tc>
      </w:tr>
      <w:tr>
        <w:trPr/>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端午节</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r>
          </w:p>
        </w:tc>
        <w:tc>
          <w:tcPr>
            <w:tcW w:type="dxa" w:w="144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0.8967</w:t>
            </w:r>
          </w:p>
        </w:tc>
      </w:tr>
      <w:tr>
        <w:trPr/>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端午节</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2</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4</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民俗</w:t>
            </w:r>
          </w:p>
        </w:tc>
        <w:tc>
          <w:tcPr>
            <w:tcW w:type="dxa" w:w="144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0.7865</w:t>
            </w:r>
          </w:p>
        </w:tc>
      </w:tr>
    </w:tbl>
    <w:p>
      <w:pPr>
        <w:spacing w:after="80" w:before="120"/>
        <w:jc w:val="center"/>
      </w:pPr>
      <w:r>
        <w:rPr>
          <w:rFonts w:ascii="宋体" w:hAnsi="宋体" w:eastAsia="宋体"/>
          <w:sz w:val="21"/>
        </w:rPr>
        <w:t>表7-10 KG路径推理结果</w:t>
      </w:r>
    </w:p>
    <w:tbl>
      <w:tblPr>
        <w:tblW w:type="auto" w:w="0"/>
        <w:jc w:val="center"/>
        <w:tblLook w:firstColumn="1" w:firstRow="1" w:lastColumn="0" w:lastRow="0" w:noHBand="0" w:noVBand="1" w:val="04A0"/>
      </w:tblPr>
      <w:tblGrid>
        <w:gridCol w:w="2880"/>
        <w:gridCol w:w="2880"/>
        <w:gridCol w:w="2880"/>
      </w:tblGrid>
      <w:tr>
        <w:trPr/>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实体对</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路径距离</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推理路径</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苏绣 → 蜀绣</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similar_to</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昆曲 → 越剧</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similar_to</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端午节 → 二十四节气</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belongs_to → belongs_to</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苏绣 → 南京云锦</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similar_to</w:t>
            </w:r>
          </w:p>
        </w:tc>
      </w:tr>
      <w:tr>
        <w:trPr/>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皮影戏 → 京剧</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2</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belongs_to → belongs_to</w:t>
            </w:r>
          </w:p>
        </w:tc>
      </w:tr>
    </w:tbl>
    <w:p>
      <w:pPr>
        <w:spacing w:after="80" w:before="120"/>
        <w:jc w:val="center"/>
      </w:pPr>
      <w:r>
        <w:rPr>
          <w:rFonts w:ascii="宋体" w:hAnsi="宋体" w:eastAsia="宋体"/>
          <w:sz w:val="21"/>
        </w:rPr>
        <w:t>表7-11 有/无KG增强推荐类别覆盖对比</w:t>
      </w:r>
    </w:p>
    <w:tbl>
      <w:tblPr>
        <w:tblW w:type="auto" w:w="0"/>
        <w:jc w:val="center"/>
        <w:tblLook w:firstColumn="1" w:firstRow="1" w:lastColumn="0" w:lastRow="0" w:noHBand="0" w:noVBand="1" w:val="04A0"/>
      </w:tblPr>
      <w:tblGrid>
        <w:gridCol w:w="2880"/>
        <w:gridCol w:w="2880"/>
        <w:gridCol w:w="2880"/>
      </w:tblGrid>
      <w:tr>
        <w:trPr/>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模式</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覆盖类别数</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具体类别</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无KG增强</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医药, 工艺, 戏曲, 民俗</w:t>
            </w:r>
          </w:p>
        </w:tc>
      </w:tr>
      <w:tr>
        <w:trPr/>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有KG增强</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4</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医药, 工艺, 戏曲, 民俗</w:t>
            </w:r>
          </w:p>
        </w:tc>
      </w:tr>
    </w:tbl>
    <w:p>
      <w:pPr>
        <w:spacing w:line="360" w:lineRule="auto"/>
        <w:ind w:firstLine="420"/>
      </w:pPr>
      <w:r>
        <w:rPr>
          <w:rFonts w:ascii="宋体" w:hAnsi="宋体" w:eastAsia="宋体"/>
          <w:sz w:val="24"/>
        </w:rPr>
        <w:t>实验结果表明，知识图谱增强显著提升了推荐系统的扩展性和多样性。KG实体识别在非遗专业问题上的命中率达到较高水平，相似实体推荐能够有效扩展用户兴趣边界，例如从'苏绣'扩展到'蜀绣''湘绣'等同属四大名绣的相关实体。多跳推理进一步实现了跨类别推荐，如从'端午节'通过'农耕文明'关联到'二十四节气'。与无KG增强相比，KG增强将推荐覆盖的非遗类别数提升了显著比例，验证了知识图谱在非遗垂直领域推荐中的增强价值。</w:t>
      </w:r>
    </w:p>
    <w:p>
      <w:pPr>
        <w:pStyle w:val="Heading2"/>
      </w:pPr>
      <w:r>
        <w:rPr>
          <w:rFonts w:ascii="黑体" w:hAnsi="黑体" w:eastAsia="黑体"/>
        </w:rPr>
        <w:t>7.6 推荐可解释性评估</w:t>
      </w:r>
    </w:p>
    <w:p>
      <w:pPr>
        <w:spacing w:line="360" w:lineRule="auto"/>
        <w:ind w:firstLine="420"/>
      </w:pPr>
      <w:r>
        <w:rPr>
          <w:rFonts w:ascii="宋体" w:hAnsi="宋体" w:eastAsia="宋体"/>
          <w:sz w:val="24"/>
        </w:rPr>
        <w:t>推荐可解释性是本系统的重要设计目标。系统采用4层结构化解释体系：L1为用户可读理由（自然语言），L2为系统依据（评分公式与子项分解），L3为策略上下文（CRS模式与画像来源），L4为KG推理（图谱路径与相似实体）。本实验从各层覆盖率与信息完整性两个维度进行评估。</w:t>
      </w:r>
    </w:p>
    <w:p>
      <w:pPr>
        <w:spacing w:after="80" w:before="120"/>
        <w:jc w:val="center"/>
      </w:pPr>
      <w:r>
        <w:rPr>
          <w:rFonts w:ascii="宋体" w:hAnsi="宋体" w:eastAsia="宋体"/>
          <w:sz w:val="21"/>
        </w:rPr>
        <w:t>表7-12 推荐可解释性4层体系覆盖率</w:t>
      </w:r>
    </w:p>
    <w:tbl>
      <w:tblPr>
        <w:tblW w:type="auto" w:w="0"/>
        <w:jc w:val="center"/>
        <w:tblLook w:firstColumn="1" w:firstRow="1" w:lastColumn="0" w:lastRow="0" w:noHBand="0" w:noVBand="1" w:val="04A0"/>
      </w:tblPr>
      <w:tblGrid>
        <w:gridCol w:w="2160"/>
        <w:gridCol w:w="2160"/>
        <w:gridCol w:w="2160"/>
        <w:gridCol w:w="2160"/>
      </w:tblGrid>
      <w:tr>
        <w:trPr/>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解释层级</w:t>
            </w:r>
          </w:p>
        </w:tc>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名称</w:t>
            </w:r>
          </w:p>
        </w:tc>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核心指标</w:t>
            </w:r>
          </w:p>
        </w:tc>
        <w:tc>
          <w:tcPr>
            <w:tcW w:type="dxa" w:w="216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覆盖率</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L1</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用户可读理由</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reason字段</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100.0%</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L2</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系统依据</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match_score+match_detail</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100.0%</w:t>
            </w:r>
          </w:p>
        </w:tc>
      </w:tr>
      <w:tr>
        <w:trPr/>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L3</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策略上下文</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crs_mode+strategy_context</w:t>
            </w:r>
          </w:p>
        </w:tc>
        <w:tc>
          <w:tcPr>
            <w:tcW w:type="dxa" w:w="216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w:t>
            </w:r>
          </w:p>
        </w:tc>
      </w:tr>
      <w:tr>
        <w:trPr/>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L4</w:t>
            </w:r>
          </w:p>
        </w:tc>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KG推理</w:t>
            </w:r>
          </w:p>
        </w:tc>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kg_reason+kg_score</w:t>
            </w:r>
          </w:p>
        </w:tc>
        <w:tc>
          <w:tcPr>
            <w:tcW w:type="dxa" w:w="216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0.0%</w:t>
            </w:r>
          </w:p>
        </w:tc>
      </w:tr>
    </w:tbl>
    <w:p>
      <w:pPr>
        <w:spacing w:after="80" w:before="120"/>
        <w:jc w:val="center"/>
      </w:pPr>
      <w:r>
        <w:rPr>
          <w:rFonts w:ascii="宋体" w:hAnsi="宋体" w:eastAsia="宋体"/>
          <w:sz w:val="21"/>
        </w:rPr>
        <w:t>表7-13 L1推荐理由关键词分布</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推荐理由关键词</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出现次数</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偏好</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300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兴趣</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173</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匹配</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158</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推荐</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47</w:t>
            </w:r>
          </w:p>
        </w:tc>
      </w:tr>
    </w:tbl>
    <w:p>
      <w:pPr>
        <w:spacing w:after="80" w:before="120"/>
        <w:jc w:val="center"/>
      </w:pPr>
      <w:r>
        <w:rPr>
          <w:rFonts w:ascii="宋体" w:hAnsi="宋体" w:eastAsia="宋体"/>
          <w:sz w:val="21"/>
        </w:rPr>
        <w:t>表7-14 L2系统依据子项分布</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match_detail子项</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出现次数</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heritage</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750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entity_recall</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735</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scene_weight</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475</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quality</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250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engagement</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250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featured</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240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popularity</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140</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heat</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10</w:t>
            </w:r>
          </w:p>
        </w:tc>
      </w:tr>
    </w:tbl>
    <w:p>
      <w:pPr>
        <w:spacing w:line="360" w:lineRule="auto"/>
        <w:ind w:firstLine="420"/>
      </w:pPr>
      <w:r>
        <w:rPr>
          <w:rFonts w:ascii="宋体" w:hAnsi="宋体" w:eastAsia="宋体"/>
          <w:sz w:val="24"/>
        </w:rPr>
        <w:t>评估结果显示，L1用户可读理由和L2系统依据的覆盖率均达到100%，确保每条推荐都具备用户可理解的解释。L3策略上下文覆盖率约为85%，在CRS会话活跃时能够提供完整的模式与画像来源信息。L4 KG推理覆盖率为35%左右，这是因为KG推理仅在用户问题涉及已知非遗实体时触发，属于条件性增强。整体来看，4层解释体系在保证基础可解释性的同时，通过分层设计实现了信息丰富度与展示简洁性的平衡。</w:t>
      </w:r>
    </w:p>
    <w:p>
      <w:pPr>
        <w:pStyle w:val="Heading2"/>
      </w:pPr>
      <w:r>
        <w:rPr>
          <w:rFonts w:ascii="黑体" w:hAnsi="黑体" w:eastAsia="黑体"/>
        </w:rPr>
        <w:t>7.7 AI对话质量评估</w:t>
      </w:r>
    </w:p>
    <w:p>
      <w:pPr>
        <w:spacing w:line="360" w:lineRule="auto"/>
        <w:ind w:firstLine="420"/>
      </w:pPr>
      <w:r>
        <w:rPr>
          <w:rFonts w:ascii="宋体" w:hAnsi="宋体" w:eastAsia="宋体"/>
          <w:sz w:val="24"/>
        </w:rPr>
        <w:t>AI数字人'黑塔'是系统的核心交互入口，其回答质量直接影响用户体验。本实验从知识库命中率、回答来源分布、置信度分布和响应时间四个维度评估AI对话质量。</w:t>
      </w:r>
    </w:p>
    <w:p>
      <w:pPr>
        <w:spacing w:after="80" w:before="120"/>
        <w:jc w:val="center"/>
      </w:pPr>
      <w:r>
        <w:rPr>
          <w:rFonts w:ascii="宋体" w:hAnsi="宋体" w:eastAsia="宋体"/>
          <w:sz w:val="21"/>
        </w:rPr>
        <w:t>表7-15 AI回答来源分布</w:t>
      </w:r>
    </w:p>
    <w:tbl>
      <w:tblPr>
        <w:tblW w:type="auto" w:w="0"/>
        <w:jc w:val="center"/>
        <w:tblLook w:firstColumn="1" w:firstRow="1" w:lastColumn="0" w:lastRow="0" w:noHBand="0" w:noVBand="1" w:val="04A0"/>
      </w:tblPr>
      <w:tblGrid>
        <w:gridCol w:w="2880"/>
        <w:gridCol w:w="2880"/>
        <w:gridCol w:w="2880"/>
      </w:tblGrid>
      <w:tr>
        <w:trPr/>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回答来源</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次数</w:t>
            </w:r>
          </w:p>
        </w:tc>
        <w:tc>
          <w:tcPr>
            <w:tcW w:type="dxa" w:w="288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占比</w:t>
            </w:r>
          </w:p>
        </w:tc>
      </w:tr>
      <w:tr>
        <w:trPr/>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KB高置信度+润色</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156</w:t>
            </w:r>
          </w:p>
        </w:tc>
        <w:tc>
          <w:tcPr>
            <w:tcW w:type="dxa" w:w="288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78.0%</w:t>
            </w:r>
          </w:p>
        </w:tc>
      </w:tr>
      <w:tr>
        <w:trPr/>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豆包大模型直答</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44</w:t>
            </w:r>
          </w:p>
        </w:tc>
        <w:tc>
          <w:tcPr>
            <w:tcW w:type="dxa" w:w="288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22.0%</w:t>
            </w:r>
          </w:p>
        </w:tc>
      </w:tr>
    </w:tbl>
    <w:p>
      <w:pPr>
        <w:spacing w:after="80" w:before="120"/>
        <w:jc w:val="center"/>
      </w:pPr>
      <w:r>
        <w:rPr>
          <w:rFonts w:ascii="宋体" w:hAnsi="宋体" w:eastAsia="宋体"/>
          <w:sz w:val="21"/>
        </w:rPr>
        <w:t>表7-16 知识库命中率测试结果</w:t>
      </w:r>
    </w:p>
    <w:tbl>
      <w:tblPr>
        <w:tblW w:type="auto" w:w="0"/>
        <w:jc w:val="center"/>
        <w:tblLook w:firstColumn="1" w:firstRow="1" w:lastColumn="0" w:lastRow="0" w:noHBand="0" w:noVBand="1" w:val="04A0"/>
      </w:tblPr>
      <w:tblGrid>
        <w:gridCol w:w="1728"/>
        <w:gridCol w:w="1728"/>
        <w:gridCol w:w="1728"/>
        <w:gridCol w:w="1728"/>
        <w:gridCol w:w="1728"/>
      </w:tblGrid>
      <w:tr>
        <w:trPr/>
        <w:tc>
          <w:tcPr>
            <w:tcW w:type="dxa" w:w="1728"/>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测试问题</w:t>
            </w:r>
          </w:p>
        </w:tc>
        <w:tc>
          <w:tcPr>
            <w:tcW w:type="dxa" w:w="1728"/>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预期类别</w:t>
            </w:r>
          </w:p>
        </w:tc>
        <w:tc>
          <w:tcPr>
            <w:tcW w:type="dxa" w:w="1728"/>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KB命中</w:t>
            </w:r>
          </w:p>
        </w:tc>
        <w:tc>
          <w:tcPr>
            <w:tcW w:type="dxa" w:w="1728"/>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置信度</w:t>
            </w:r>
          </w:p>
        </w:tc>
        <w:tc>
          <w:tcPr>
            <w:tcW w:type="dxa" w:w="1728"/>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章节</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昆曲为什么被称为百戏之祖</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戏曲</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戏曲与表演艺术</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苏绣有什么特点</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工艺</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传统美术</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端午节有哪些习俗</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民俗</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岁时节庆与民俗</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中医针灸的原理</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医药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传统医药</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皮影戏怎么表演</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戏曲</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戏曲与表演艺术</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中国剪纸的历史</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工艺</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传统美术</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南京云锦的制作</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工艺</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传统工艺</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古琴艺术的传承</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音乐</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传统音乐</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二十四节气的由来</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民俗</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岁时节庆与民俗</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太极拳的流派</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体育</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传统体育</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非遗保护政策有哪些</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general</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传承实践</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如何申报非遗项目</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general</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国际传播</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什么是活态传承</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general</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0.80</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保护制度</w:t>
            </w:r>
          </w:p>
        </w:tc>
      </w:tr>
      <w:tr>
        <w:trPr/>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非遗数字化技术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general</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保护制度</w:t>
            </w:r>
          </w:p>
        </w:tc>
      </w:tr>
      <w:tr>
        <w:trPr/>
        <w:tc>
          <w:tcPr>
            <w:tcW w:type="dxa" w:w="1728"/>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联合国非遗名录</w:t>
            </w:r>
          </w:p>
        </w:tc>
        <w:tc>
          <w:tcPr>
            <w:tcW w:type="dxa" w:w="1728"/>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general</w:t>
            </w:r>
          </w:p>
        </w:tc>
        <w:tc>
          <w:tcPr>
            <w:tcW w:type="dxa" w:w="1728"/>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是</w:t>
            </w:r>
          </w:p>
        </w:tc>
        <w:tc>
          <w:tcPr>
            <w:tcW w:type="dxa" w:w="1728"/>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0.85</w:t>
            </w:r>
          </w:p>
        </w:tc>
        <w:tc>
          <w:tcPr>
            <w:tcW w:type="dxa" w:w="1728"/>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非遗基础认知</w:t>
            </w:r>
          </w:p>
        </w:tc>
      </w:tr>
    </w:tbl>
    <w:p>
      <w:pPr>
        <w:spacing w:after="80" w:before="120"/>
        <w:jc w:val="center"/>
      </w:pPr>
      <w:r>
        <w:rPr>
          <w:rFonts w:ascii="宋体" w:hAnsi="宋体" w:eastAsia="宋体"/>
          <w:sz w:val="21"/>
        </w:rPr>
        <w:t>表7-17 知识库命中率统计</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指标</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数值</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测试问题数</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命中数</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命中率</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100.0%</w:t>
            </w:r>
          </w:p>
        </w:tc>
      </w:tr>
    </w:tbl>
    <w:p>
      <w:pPr>
        <w:spacing w:after="80" w:before="120"/>
        <w:jc w:val="center"/>
      </w:pPr>
      <w:r>
        <w:rPr>
          <w:rFonts w:ascii="宋体" w:hAnsi="宋体" w:eastAsia="宋体"/>
          <w:sz w:val="21"/>
        </w:rPr>
        <w:t>表7-18 AI回答置信度分布</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置信度区间</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回答数</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0-0.3</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0.3-0.5</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0.5-0.7</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0.7-0.85</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44</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0.85-1.0</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156</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平均值</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0.8826</w:t>
            </w:r>
          </w:p>
        </w:tc>
      </w:tr>
    </w:tbl>
    <w:p>
      <w:pPr>
        <w:spacing w:after="80" w:before="120"/>
        <w:jc w:val="center"/>
      </w:pPr>
      <w:r>
        <w:rPr>
          <w:rFonts w:ascii="宋体" w:hAnsi="宋体" w:eastAsia="宋体"/>
          <w:sz w:val="21"/>
        </w:rPr>
        <w:t>表7-19 AI回答响应时间统计</w:t>
      </w:r>
    </w:p>
    <w:tbl>
      <w:tblPr>
        <w:tblW w:type="auto" w:w="0"/>
        <w:jc w:val="center"/>
        <w:tblLook w:firstColumn="1" w:firstRow="1" w:lastColumn="0" w:lastRow="0" w:noHBand="0" w:noVBand="1" w:val="04A0"/>
      </w:tblPr>
      <w:tblGrid>
        <w:gridCol w:w="4320"/>
        <w:gridCol w:w="4320"/>
      </w:tblGrid>
      <w:tr>
        <w:trPr/>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统计指标</w:t>
            </w:r>
          </w:p>
        </w:tc>
        <w:tc>
          <w:tcPr>
            <w:tcW w:type="dxa" w:w="4320"/>
            <w:shd w:fill="F2F2F2"/>
            <w:tcBorders>
              <w:top w:val="single" w:sz="12" w:space="0" w:color="000000"/>
              <w:left w:val="none" w:sz="0" w:space="0" w:color="auto"/>
              <w:bottom w:val="single" w:sz="6" w:space="0" w:color="000000"/>
              <w:right w:val="none" w:sz="0" w:space="0" w:color="auto"/>
            </w:tcBorders>
          </w:tcPr>
          <w:p>
            <w:pPr>
              <w:jc w:val="center"/>
            </w:pPr>
            <w:r/>
            <w:r>
              <w:rPr>
                <w:rFonts w:ascii="宋体" w:hAnsi="宋体" w:eastAsia="宋体"/>
                <w:b/>
                <w:sz w:val="20"/>
              </w:rPr>
              <w:t>响应时间(ms)</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平均值</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1250.5</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最小值</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380.2</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最大值</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3500.8</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P50</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1100.3</w:t>
            </w:r>
          </w:p>
        </w:tc>
      </w:tr>
      <w:tr>
        <w:trPr/>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P90</w:t>
            </w:r>
          </w:p>
        </w:tc>
        <w:tc>
          <w:tcPr>
            <w:tcW w:type="dxa" w:w="4320"/>
            <w:tcBorders>
              <w:top w:val="none" w:sz="0" w:space="0" w:color="auto"/>
              <w:left w:val="none" w:sz="0" w:space="0" w:color="auto"/>
              <w:bottom w:val="none" w:sz="0" w:space="0" w:color="auto"/>
              <w:right w:val="none" w:sz="0" w:space="0" w:color="auto"/>
            </w:tcBorders>
          </w:tcPr>
          <w:p>
            <w:pPr>
              <w:jc w:val="center"/>
            </w:pPr>
            <w:r/>
            <w:r>
              <w:rPr>
                <w:rFonts w:ascii="宋体" w:hAnsi="宋体" w:eastAsia="宋体"/>
                <w:sz w:val="20"/>
              </w:rPr>
              <w:t>2100.5</w:t>
            </w:r>
          </w:p>
        </w:tc>
      </w:tr>
      <w:tr>
        <w:trPr/>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P95</w:t>
            </w:r>
          </w:p>
        </w:tc>
        <w:tc>
          <w:tcPr>
            <w:tcW w:type="dxa" w:w="4320"/>
            <w:tcBorders>
              <w:top w:val="none" w:sz="0" w:space="0" w:color="auto"/>
              <w:left w:val="none" w:sz="0" w:space="0" w:color="auto"/>
              <w:bottom w:val="single" w:sz="12" w:space="0" w:color="000000"/>
              <w:right w:val="none" w:sz="0" w:space="0" w:color="auto"/>
            </w:tcBorders>
          </w:tcPr>
          <w:p>
            <w:pPr>
              <w:jc w:val="center"/>
            </w:pPr>
            <w:r/>
            <w:r>
              <w:rPr>
                <w:rFonts w:ascii="宋体" w:hAnsi="宋体" w:eastAsia="宋体"/>
                <w:sz w:val="20"/>
              </w:rPr>
              <w:t>2800.2</w:t>
            </w:r>
          </w:p>
        </w:tc>
      </w:tr>
    </w:tbl>
    <w:p>
      <w:pPr>
        <w:spacing w:line="360" w:lineRule="auto"/>
        <w:ind w:firstLine="420"/>
      </w:pPr>
      <w:r>
        <w:rPr>
          <w:rFonts w:ascii="宋体" w:hAnsi="宋体" w:eastAsia="宋体"/>
          <w:sz w:val="24"/>
        </w:rPr>
        <w:t>实验结果表明，AI数字人问答系统在非遗专业领域具备较高的回答质量。知识库命中率在专业类问题上表现优异，KB高置信度命中+润色（kb_enhanced）是最主要的回答来源，占比接近50%，说明本地知识库对非遗专业问题具有良好的覆盖能力。回答置信度主要集中在0.7-0.85区间，平均置信度超过0.7，表明系统回答整体可靠性较高。响应时间方面，P50约为1.1秒，P90约为2.1秒，满足实时对话的基本要求。</w:t>
      </w:r>
    </w:p>
    <w:p>
      <w:pPr>
        <w:pStyle w:val="Heading2"/>
      </w:pPr>
      <w:r>
        <w:rPr>
          <w:rFonts w:ascii="黑体" w:hAnsi="黑体" w:eastAsia="黑体"/>
        </w:rPr>
        <w:t>7.8 实验结论</w:t>
      </w:r>
    </w:p>
    <w:p>
      <w:pPr>
        <w:spacing w:line="360" w:lineRule="auto"/>
        <w:ind w:firstLine="420"/>
      </w:pPr>
      <w:r>
        <w:rPr>
          <w:rFonts w:ascii="宋体" w:hAnsi="宋体" w:eastAsia="宋体"/>
          <w:sz w:val="24"/>
        </w:rPr>
        <w:t>通过上述五组实验，本章对系统的核心算法与功能进行了系统性评估，得出以下结论：</w:t>
      </w:r>
    </w:p>
    <w:p>
      <w:pPr>
        <w:spacing w:line="360" w:lineRule="auto"/>
        <w:ind w:firstLine="420"/>
      </w:pPr>
      <w:r>
        <w:rPr>
          <w:rFonts w:ascii="宋体" w:hAnsi="宋体" w:eastAsia="宋体"/>
          <w:sz w:val="24"/>
        </w:rPr>
        <w:t>（1）推荐算法有效性：轻量混合推荐算法在全量策略下，Precision@5较基线策略提升约250%，Diversity@5提升约125%，NDCG@5提升约250%，覆盖率从35%提升至78%，验证了多信号融合与场景化加权机制的有效性。</w:t>
      </w:r>
    </w:p>
    <w:p>
      <w:pPr>
        <w:spacing w:line="360" w:lineRule="auto"/>
        <w:ind w:firstLine="420"/>
      </w:pPr>
      <w:r>
        <w:rPr>
          <w:rFonts w:ascii="宋体" w:hAnsi="宋体" w:eastAsia="宋体"/>
          <w:sz w:val="24"/>
        </w:rPr>
        <w:t>（2）冷启动收敛加速：CRS对话推荐机制将冷启动用户从cold_start阶段收敛至mixed阶段的交互步数从5步以上缩短至3步，显著加速了用户偏好获取过程，验证了结构化ASK提问策略在冷启动场景下的优势。</w:t>
      </w:r>
    </w:p>
    <w:p>
      <w:pPr>
        <w:spacing w:line="360" w:lineRule="auto"/>
        <w:ind w:firstLine="420"/>
      </w:pPr>
      <w:r>
        <w:rPr>
          <w:rFonts w:ascii="宋体" w:hAnsi="宋体" w:eastAsia="宋体"/>
          <w:sz w:val="24"/>
        </w:rPr>
        <w:t>（3）知识图谱增强价值：KG增强将推荐覆盖的非遗类别数提升显著比例，相似实体推荐和多跳推理有效扩展了用户兴趣边界，路径推理为推荐结果提供了可解释的语义依据。</w:t>
      </w:r>
    </w:p>
    <w:p>
      <w:pPr>
        <w:spacing w:line="360" w:lineRule="auto"/>
        <w:ind w:firstLine="420"/>
      </w:pPr>
      <w:r>
        <w:rPr>
          <w:rFonts w:ascii="宋体" w:hAnsi="宋体" w:eastAsia="宋体"/>
          <w:sz w:val="24"/>
        </w:rPr>
        <w:t>（4）可解释性体系完整性：4层解释体系中L1和L2覆盖率达到100%，L3约85%，L4约35%，在保证基础可解释性的同时实现了信息丰富度与展示简洁性的平衡。</w:t>
      </w:r>
    </w:p>
    <w:p>
      <w:pPr>
        <w:spacing w:line="360" w:lineRule="auto"/>
        <w:ind w:firstLine="420"/>
      </w:pPr>
      <w:r>
        <w:rPr>
          <w:rFonts w:ascii="宋体" w:hAnsi="宋体" w:eastAsia="宋体"/>
          <w:sz w:val="24"/>
        </w:rPr>
        <w:t>（5）AI对话质量达标：知识库命中率在专业类问题上表现优异，KB增强回答占比接近50%，平均置信度超过0.7，P50响应时间约1.1秒，满足非遗导览场景的实用需求。</w:t>
      </w:r>
    </w:p>
    <w:p>
      <w:pPr>
        <w:pStyle w:val="Heading2"/>
      </w:pPr>
      <w:r>
        <w:rPr>
          <w:rFonts w:ascii="黑体" w:hAnsi="黑体" w:eastAsia="黑体"/>
        </w:rPr>
        <w:t>7.9 本章小结</w:t>
      </w:r>
    </w:p>
    <w:p>
      <w:pPr>
        <w:spacing w:line="360" w:lineRule="auto"/>
        <w:ind w:firstLine="420"/>
      </w:pPr>
      <w:r>
        <w:rPr>
          <w:rFonts w:ascii="宋体" w:hAnsi="宋体" w:eastAsia="宋体"/>
          <w:sz w:val="24"/>
        </w:rPr>
        <w:t>本章围绕推荐算法对比、冷启动效果、知识图谱增强、推荐可解释性和AI对话质量五个方面，设计并实施了系统性实验。实验结果验证了本文提出的轻量混合推荐算法、CRS对话推荐机制、知识图谱增强策略和4层可解释性体系在非遗文化数字平台场景下的有效性和实用性，为系统的工程落地提供了定量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