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368D9E80" w:rsidR="00360268" w:rsidRDefault="0C604DAB" w:rsidP="007C13B3">
      <w:pPr>
        <w:spacing w:after="0" w:line="360" w:lineRule="auto"/>
        <w:jc w:val="center"/>
      </w:pPr>
      <w:r w:rsidRPr="151DD40F">
        <w:rPr>
          <w:sz w:val="40"/>
          <w:szCs w:val="40"/>
        </w:rPr>
        <w:t>Annual Business Survey 2019</w:t>
      </w:r>
    </w:p>
    <w:p w14:paraId="07828E94" w14:textId="7B9A0165" w:rsidR="151DD40F" w:rsidRDefault="151DD40F" w:rsidP="007C13B3">
      <w:pPr>
        <w:spacing w:after="0" w:line="240" w:lineRule="auto"/>
        <w:jc w:val="center"/>
        <w:rPr>
          <w:sz w:val="40"/>
          <w:szCs w:val="40"/>
        </w:rPr>
      </w:pPr>
    </w:p>
    <w:p w14:paraId="59C7C443" w14:textId="083D332C" w:rsidR="0C604DAB" w:rsidRDefault="0C604DAB" w:rsidP="007C13B3">
      <w:pPr>
        <w:spacing w:after="0" w:line="240" w:lineRule="auto"/>
        <w:jc w:val="center"/>
        <w:rPr>
          <w:sz w:val="40"/>
          <w:szCs w:val="40"/>
        </w:rPr>
      </w:pPr>
      <w:r w:rsidRPr="151DD40F">
        <w:rPr>
          <w:sz w:val="32"/>
          <w:szCs w:val="32"/>
        </w:rPr>
        <w:t xml:space="preserve">By: Luke </w:t>
      </w:r>
      <w:proofErr w:type="spellStart"/>
      <w:r w:rsidRPr="151DD40F">
        <w:rPr>
          <w:sz w:val="32"/>
          <w:szCs w:val="32"/>
        </w:rPr>
        <w:t>Natalo</w:t>
      </w:r>
      <w:proofErr w:type="spellEnd"/>
      <w:r w:rsidRPr="151DD40F">
        <w:rPr>
          <w:sz w:val="32"/>
          <w:szCs w:val="32"/>
        </w:rPr>
        <w:t xml:space="preserve">, Ryan Shell, </w:t>
      </w:r>
    </w:p>
    <w:p w14:paraId="415EA7ED" w14:textId="67A18C60" w:rsidR="0C604DAB" w:rsidRDefault="0C604DAB" w:rsidP="007C13B3">
      <w:pPr>
        <w:spacing w:after="0" w:line="240" w:lineRule="auto"/>
        <w:jc w:val="center"/>
        <w:rPr>
          <w:sz w:val="32"/>
          <w:szCs w:val="32"/>
        </w:rPr>
      </w:pPr>
      <w:r w:rsidRPr="578A20B6">
        <w:rPr>
          <w:sz w:val="32"/>
          <w:szCs w:val="32"/>
        </w:rPr>
        <w:t>Brian Moritz, and Aaron Janaszak</w:t>
      </w:r>
    </w:p>
    <w:p w14:paraId="273A072C" w14:textId="6245FDAC" w:rsidR="151DD40F" w:rsidRDefault="151DD40F" w:rsidP="007C13B3">
      <w:pPr>
        <w:spacing w:after="0" w:line="240" w:lineRule="auto"/>
        <w:jc w:val="center"/>
        <w:rPr>
          <w:sz w:val="32"/>
          <w:szCs w:val="32"/>
        </w:rPr>
      </w:pPr>
    </w:p>
    <w:p w14:paraId="3221AB6B" w14:textId="77777777" w:rsidR="007C13B3" w:rsidRDefault="007C13B3" w:rsidP="007C13B3">
      <w:pPr>
        <w:spacing w:after="0" w:line="240" w:lineRule="auto"/>
        <w:jc w:val="center"/>
        <w:rPr>
          <w:sz w:val="32"/>
          <w:szCs w:val="32"/>
        </w:rPr>
      </w:pPr>
    </w:p>
    <w:p w14:paraId="6B94AD72" w14:textId="09852A18" w:rsidR="130D8A47" w:rsidRDefault="130D8A47" w:rsidP="007C13B3">
      <w:pPr>
        <w:spacing w:after="0" w:line="240" w:lineRule="auto"/>
        <w:rPr>
          <w:sz w:val="32"/>
          <w:szCs w:val="32"/>
        </w:rPr>
      </w:pPr>
      <w:r w:rsidRPr="151DD40F">
        <w:rPr>
          <w:sz w:val="24"/>
          <w:szCs w:val="24"/>
          <w:u w:val="single"/>
        </w:rPr>
        <w:t>Data Sources:</w:t>
      </w:r>
    </w:p>
    <w:p w14:paraId="4B859216" w14:textId="6A0F11C6" w:rsidR="130D8A47" w:rsidRDefault="130D8A47" w:rsidP="007C13B3">
      <w:pPr>
        <w:spacing w:after="0" w:line="240" w:lineRule="auto"/>
      </w:pPr>
    </w:p>
    <w:p w14:paraId="2BE9EECF" w14:textId="3A95380F" w:rsidR="1C65805A" w:rsidRDefault="1C65805A" w:rsidP="007C13B3">
      <w:pPr>
        <w:spacing w:line="240" w:lineRule="auto"/>
        <w:ind w:left="567" w:hanging="567"/>
        <w:rPr>
          <w:rFonts w:eastAsiaTheme="minorEastAsia"/>
          <w:sz w:val="24"/>
          <w:szCs w:val="24"/>
        </w:rPr>
      </w:pPr>
      <w:r w:rsidRPr="151DD40F">
        <w:rPr>
          <w:rFonts w:eastAsiaTheme="minorEastAsia"/>
          <w:sz w:val="24"/>
          <w:szCs w:val="24"/>
        </w:rPr>
        <w:t xml:space="preserve">Bureau, U. S. C. (2021, March 21). </w:t>
      </w:r>
      <w:r w:rsidRPr="151DD40F">
        <w:rPr>
          <w:rFonts w:eastAsiaTheme="minorEastAsia"/>
          <w:i/>
          <w:iCs/>
          <w:sz w:val="24"/>
          <w:szCs w:val="24"/>
        </w:rPr>
        <w:t>Annual Business Survey (ABS) APIs</w:t>
      </w:r>
      <w:r w:rsidRPr="151DD40F">
        <w:rPr>
          <w:rFonts w:eastAsiaTheme="minorEastAsia"/>
          <w:sz w:val="24"/>
          <w:szCs w:val="24"/>
        </w:rPr>
        <w:t xml:space="preserve">. The United States Census Bureau. Retrieved October 7, 2021, from </w:t>
      </w:r>
      <w:hyperlink r:id="rId5">
        <w:r w:rsidRPr="151DD40F">
          <w:rPr>
            <w:rStyle w:val="Hyperlink"/>
            <w:rFonts w:eastAsiaTheme="minorEastAsia"/>
            <w:sz w:val="24"/>
            <w:szCs w:val="24"/>
          </w:rPr>
          <w:t>https://www.census.gov/data/developers/data-sets/abs.2019.html</w:t>
        </w:r>
      </w:hyperlink>
      <w:r w:rsidRPr="151DD40F">
        <w:rPr>
          <w:rFonts w:eastAsiaTheme="minorEastAsia"/>
          <w:sz w:val="24"/>
          <w:szCs w:val="24"/>
        </w:rPr>
        <w:t>.</w:t>
      </w:r>
    </w:p>
    <w:p w14:paraId="42BAC367" w14:textId="50BA02FC" w:rsidR="151DD40F" w:rsidRDefault="151DD40F" w:rsidP="007C13B3">
      <w:pPr>
        <w:spacing w:after="0" w:line="360" w:lineRule="auto"/>
        <w:rPr>
          <w:sz w:val="24"/>
          <w:szCs w:val="24"/>
        </w:rPr>
      </w:pPr>
    </w:p>
    <w:p w14:paraId="0B115298" w14:textId="77777777" w:rsidR="007C13B3" w:rsidRDefault="007C13B3" w:rsidP="007C13B3">
      <w:pPr>
        <w:spacing w:after="0" w:line="360" w:lineRule="auto"/>
        <w:rPr>
          <w:sz w:val="24"/>
          <w:szCs w:val="24"/>
        </w:rPr>
      </w:pPr>
    </w:p>
    <w:p w14:paraId="0599E458" w14:textId="30516DCC" w:rsidR="130D8A47" w:rsidRDefault="130D8A47" w:rsidP="007C13B3">
      <w:pPr>
        <w:spacing w:after="0" w:line="360" w:lineRule="auto"/>
        <w:rPr>
          <w:sz w:val="24"/>
          <w:szCs w:val="24"/>
          <w:u w:val="single"/>
        </w:rPr>
      </w:pPr>
      <w:r w:rsidRPr="151DD40F">
        <w:rPr>
          <w:sz w:val="24"/>
          <w:szCs w:val="24"/>
          <w:u w:val="single"/>
        </w:rPr>
        <w:t>Initial Questions:</w:t>
      </w:r>
    </w:p>
    <w:p w14:paraId="712E1A4B" w14:textId="557235BC" w:rsidR="130D8A47" w:rsidRDefault="130D8A47" w:rsidP="007C13B3">
      <w:pPr>
        <w:pStyle w:val="ListParagraph"/>
        <w:numPr>
          <w:ilvl w:val="0"/>
          <w:numId w:val="2"/>
        </w:numPr>
        <w:spacing w:after="0" w:line="360" w:lineRule="auto"/>
        <w:rPr>
          <w:rFonts w:eastAsiaTheme="minorEastAsia"/>
          <w:sz w:val="24"/>
          <w:szCs w:val="24"/>
          <w:u w:val="single"/>
        </w:rPr>
      </w:pPr>
      <w:r w:rsidRPr="578A20B6">
        <w:rPr>
          <w:sz w:val="24"/>
          <w:szCs w:val="24"/>
        </w:rPr>
        <w:t xml:space="preserve">How does the sex of the </w:t>
      </w:r>
      <w:r w:rsidR="6B71EEB7" w:rsidRPr="578A20B6">
        <w:rPr>
          <w:sz w:val="24"/>
          <w:szCs w:val="24"/>
        </w:rPr>
        <w:t xml:space="preserve">company owners </w:t>
      </w:r>
      <w:r w:rsidRPr="578A20B6">
        <w:rPr>
          <w:sz w:val="24"/>
          <w:szCs w:val="24"/>
        </w:rPr>
        <w:t xml:space="preserve">in Vermont compare to the sex of </w:t>
      </w:r>
      <w:r w:rsidR="3F206C60" w:rsidRPr="578A20B6">
        <w:rPr>
          <w:sz w:val="24"/>
          <w:szCs w:val="24"/>
        </w:rPr>
        <w:t>company owner</w:t>
      </w:r>
      <w:r w:rsidRPr="578A20B6">
        <w:rPr>
          <w:sz w:val="24"/>
          <w:szCs w:val="24"/>
        </w:rPr>
        <w:t>s in Wyoming?</w:t>
      </w:r>
    </w:p>
    <w:p w14:paraId="07C72854" w14:textId="21418E09" w:rsidR="130D8A47" w:rsidRDefault="130D8A47" w:rsidP="007C13B3">
      <w:pPr>
        <w:pStyle w:val="ListParagraph"/>
        <w:numPr>
          <w:ilvl w:val="0"/>
          <w:numId w:val="2"/>
        </w:numPr>
        <w:spacing w:after="0" w:line="360" w:lineRule="auto"/>
        <w:rPr>
          <w:rFonts w:eastAsiaTheme="minorEastAsia"/>
          <w:sz w:val="24"/>
          <w:szCs w:val="24"/>
        </w:rPr>
      </w:pPr>
      <w:r w:rsidRPr="578A20B6">
        <w:rPr>
          <w:sz w:val="24"/>
          <w:szCs w:val="24"/>
        </w:rPr>
        <w:t xml:space="preserve">How does the veteran status of the </w:t>
      </w:r>
      <w:r w:rsidR="35E14C50" w:rsidRPr="578A20B6">
        <w:rPr>
          <w:sz w:val="24"/>
          <w:szCs w:val="24"/>
        </w:rPr>
        <w:t xml:space="preserve">company owners </w:t>
      </w:r>
      <w:r w:rsidRPr="578A20B6">
        <w:rPr>
          <w:sz w:val="24"/>
          <w:szCs w:val="24"/>
        </w:rPr>
        <w:t xml:space="preserve">in Vermont compare to the veteran status of </w:t>
      </w:r>
      <w:r w:rsidR="25FAB4DE" w:rsidRPr="578A20B6">
        <w:rPr>
          <w:sz w:val="24"/>
          <w:szCs w:val="24"/>
        </w:rPr>
        <w:t xml:space="preserve">company owners </w:t>
      </w:r>
      <w:r w:rsidRPr="578A20B6">
        <w:rPr>
          <w:sz w:val="24"/>
          <w:szCs w:val="24"/>
        </w:rPr>
        <w:t>in Wyoming?</w:t>
      </w:r>
    </w:p>
    <w:p w14:paraId="2B53CE50" w14:textId="748CAFAA" w:rsidR="007C13B3" w:rsidRPr="007C13B3" w:rsidRDefault="130D8A47" w:rsidP="007C13B3">
      <w:pPr>
        <w:pStyle w:val="ListParagraph"/>
        <w:numPr>
          <w:ilvl w:val="0"/>
          <w:numId w:val="2"/>
        </w:numPr>
        <w:spacing w:after="0" w:line="360" w:lineRule="auto"/>
        <w:rPr>
          <w:rFonts w:eastAsiaTheme="minorEastAsia"/>
          <w:sz w:val="24"/>
          <w:szCs w:val="24"/>
        </w:rPr>
      </w:pPr>
      <w:r w:rsidRPr="007C13B3">
        <w:rPr>
          <w:sz w:val="24"/>
          <w:szCs w:val="24"/>
        </w:rPr>
        <w:t>How does the race of the e</w:t>
      </w:r>
      <w:r w:rsidR="56607F96" w:rsidRPr="007C13B3">
        <w:rPr>
          <w:sz w:val="24"/>
          <w:szCs w:val="24"/>
        </w:rPr>
        <w:t xml:space="preserve">mployers </w:t>
      </w:r>
      <w:r w:rsidRPr="007C13B3">
        <w:rPr>
          <w:sz w:val="24"/>
          <w:szCs w:val="24"/>
        </w:rPr>
        <w:t>in Vermont compare to the race of employe</w:t>
      </w:r>
      <w:r w:rsidR="169F047F" w:rsidRPr="007C13B3">
        <w:rPr>
          <w:sz w:val="24"/>
          <w:szCs w:val="24"/>
        </w:rPr>
        <w:t>r</w:t>
      </w:r>
      <w:r w:rsidRPr="007C13B3">
        <w:rPr>
          <w:sz w:val="24"/>
          <w:szCs w:val="24"/>
        </w:rPr>
        <w:t>s in Wyoming?</w:t>
      </w:r>
    </w:p>
    <w:p w14:paraId="6D4644E2" w14:textId="381EF0D8" w:rsidR="217C4CE3" w:rsidRPr="007C13B3" w:rsidRDefault="217C4CE3" w:rsidP="007C13B3">
      <w:pPr>
        <w:pStyle w:val="ListParagraph"/>
        <w:numPr>
          <w:ilvl w:val="0"/>
          <w:numId w:val="2"/>
        </w:numPr>
        <w:spacing w:after="0" w:line="360" w:lineRule="auto"/>
        <w:rPr>
          <w:rFonts w:eastAsiaTheme="minorEastAsia"/>
          <w:sz w:val="24"/>
          <w:szCs w:val="24"/>
        </w:rPr>
      </w:pPr>
      <w:r w:rsidRPr="007C13B3">
        <w:rPr>
          <w:sz w:val="24"/>
          <w:szCs w:val="24"/>
        </w:rPr>
        <w:t>How does the number of employees relate to the listed annual payroll for</w:t>
      </w:r>
      <w:r w:rsidR="6C6A2CBA" w:rsidRPr="007C13B3">
        <w:rPr>
          <w:sz w:val="24"/>
          <w:szCs w:val="24"/>
        </w:rPr>
        <w:t xml:space="preserve"> companies in</w:t>
      </w:r>
      <w:r w:rsidRPr="007C13B3">
        <w:rPr>
          <w:sz w:val="24"/>
          <w:szCs w:val="24"/>
        </w:rPr>
        <w:t xml:space="preserve"> the two states?</w:t>
      </w:r>
    </w:p>
    <w:p w14:paraId="1E30394F" w14:textId="2E81AD72" w:rsidR="3D72102B" w:rsidRDefault="3D72102B" w:rsidP="007C13B3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578A20B6">
        <w:rPr>
          <w:sz w:val="24"/>
          <w:szCs w:val="24"/>
        </w:rPr>
        <w:t xml:space="preserve">What is the most common </w:t>
      </w:r>
      <w:r w:rsidR="13688A24" w:rsidRPr="578A20B6">
        <w:rPr>
          <w:sz w:val="24"/>
          <w:szCs w:val="24"/>
        </w:rPr>
        <w:t>number</w:t>
      </w:r>
      <w:r w:rsidRPr="578A20B6">
        <w:rPr>
          <w:sz w:val="24"/>
          <w:szCs w:val="24"/>
        </w:rPr>
        <w:t xml:space="preserve"> of sales for a company to have?</w:t>
      </w:r>
    </w:p>
    <w:p w14:paraId="3FE7B718" w14:textId="785F8338" w:rsidR="007C13B3" w:rsidRDefault="007C13B3" w:rsidP="007C13B3">
      <w:pPr>
        <w:spacing w:after="0" w:line="360" w:lineRule="auto"/>
        <w:rPr>
          <w:sz w:val="24"/>
          <w:szCs w:val="24"/>
        </w:rPr>
      </w:pPr>
    </w:p>
    <w:p w14:paraId="0339FA5A" w14:textId="532F1457" w:rsidR="007C13B3" w:rsidRDefault="007C13B3" w:rsidP="007C13B3">
      <w:pPr>
        <w:spacing w:after="0" w:line="360" w:lineRule="auto"/>
        <w:rPr>
          <w:sz w:val="24"/>
          <w:szCs w:val="24"/>
        </w:rPr>
      </w:pPr>
    </w:p>
    <w:p w14:paraId="502C1ED4" w14:textId="77777777" w:rsidR="007C13B3" w:rsidRPr="007C13B3" w:rsidRDefault="007C13B3" w:rsidP="007C13B3">
      <w:pPr>
        <w:spacing w:after="0" w:line="360" w:lineRule="auto"/>
        <w:rPr>
          <w:sz w:val="24"/>
          <w:szCs w:val="24"/>
        </w:rPr>
      </w:pPr>
    </w:p>
    <w:p w14:paraId="6EFD158C" w14:textId="1DD57672" w:rsidR="2267B40A" w:rsidRDefault="2267B40A" w:rsidP="007C13B3">
      <w:pPr>
        <w:spacing w:after="0" w:line="360" w:lineRule="auto"/>
        <w:rPr>
          <w:sz w:val="24"/>
          <w:szCs w:val="24"/>
        </w:rPr>
      </w:pPr>
      <w:r w:rsidRPr="151DD40F">
        <w:rPr>
          <w:sz w:val="24"/>
          <w:szCs w:val="24"/>
          <w:u w:val="single"/>
        </w:rPr>
        <w:t>Answering Our Questions:</w:t>
      </w:r>
    </w:p>
    <w:p w14:paraId="3A0D6252" w14:textId="77777777" w:rsidR="007C13B3" w:rsidRDefault="124D1D4F" w:rsidP="007C13B3">
      <w:pPr>
        <w:spacing w:after="0" w:line="360" w:lineRule="auto"/>
        <w:ind w:firstLine="720"/>
        <w:rPr>
          <w:noProof/>
        </w:rPr>
      </w:pPr>
      <w:r w:rsidRPr="578A20B6">
        <w:rPr>
          <w:sz w:val="24"/>
          <w:szCs w:val="24"/>
        </w:rPr>
        <w:t>To</w:t>
      </w:r>
      <w:r w:rsidR="16CB84BF" w:rsidRPr="578A20B6">
        <w:rPr>
          <w:sz w:val="24"/>
          <w:szCs w:val="24"/>
        </w:rPr>
        <w:t xml:space="preserve"> answer our </w:t>
      </w:r>
      <w:r w:rsidR="08E9F450" w:rsidRPr="578A20B6">
        <w:rPr>
          <w:sz w:val="24"/>
          <w:szCs w:val="24"/>
        </w:rPr>
        <w:t>questions,</w:t>
      </w:r>
      <w:r w:rsidR="16CB84BF" w:rsidRPr="578A20B6">
        <w:rPr>
          <w:sz w:val="24"/>
          <w:szCs w:val="24"/>
        </w:rPr>
        <w:t xml:space="preserve"> we first imported and cleaned </w:t>
      </w:r>
      <w:r w:rsidR="0958E41E" w:rsidRPr="578A20B6">
        <w:rPr>
          <w:sz w:val="24"/>
          <w:szCs w:val="24"/>
        </w:rPr>
        <w:t xml:space="preserve">the </w:t>
      </w:r>
      <w:r w:rsidR="16CB84BF" w:rsidRPr="578A20B6">
        <w:rPr>
          <w:sz w:val="24"/>
          <w:szCs w:val="24"/>
        </w:rPr>
        <w:t>data</w:t>
      </w:r>
      <w:r w:rsidR="6419C209" w:rsidRPr="578A20B6">
        <w:rPr>
          <w:sz w:val="24"/>
          <w:szCs w:val="24"/>
        </w:rPr>
        <w:t xml:space="preserve"> we needed</w:t>
      </w:r>
      <w:r w:rsidR="16CB84BF" w:rsidRPr="578A20B6">
        <w:rPr>
          <w:sz w:val="24"/>
          <w:szCs w:val="24"/>
        </w:rPr>
        <w:t xml:space="preserve"> from the </w:t>
      </w:r>
      <w:r w:rsidR="7D6A2426" w:rsidRPr="578A20B6">
        <w:rPr>
          <w:sz w:val="24"/>
          <w:szCs w:val="24"/>
        </w:rPr>
        <w:t>C</w:t>
      </w:r>
      <w:r w:rsidR="16CB84BF" w:rsidRPr="578A20B6">
        <w:rPr>
          <w:sz w:val="24"/>
          <w:szCs w:val="24"/>
        </w:rPr>
        <w:t xml:space="preserve">ompany </w:t>
      </w:r>
      <w:r w:rsidR="32243CD5" w:rsidRPr="578A20B6">
        <w:rPr>
          <w:sz w:val="24"/>
          <w:szCs w:val="24"/>
        </w:rPr>
        <w:t>S</w:t>
      </w:r>
      <w:r w:rsidR="16CB84BF" w:rsidRPr="578A20B6">
        <w:rPr>
          <w:sz w:val="24"/>
          <w:szCs w:val="24"/>
        </w:rPr>
        <w:t xml:space="preserve">ummary </w:t>
      </w:r>
      <w:r w:rsidR="376E1FB3" w:rsidRPr="578A20B6">
        <w:rPr>
          <w:sz w:val="24"/>
          <w:szCs w:val="24"/>
        </w:rPr>
        <w:t>D</w:t>
      </w:r>
      <w:r w:rsidR="16CB84BF" w:rsidRPr="578A20B6">
        <w:rPr>
          <w:sz w:val="24"/>
          <w:szCs w:val="24"/>
        </w:rPr>
        <w:t xml:space="preserve">ata available from the </w:t>
      </w:r>
      <w:r w:rsidR="4B3809EA" w:rsidRPr="578A20B6">
        <w:rPr>
          <w:sz w:val="24"/>
          <w:szCs w:val="24"/>
        </w:rPr>
        <w:t>Annual Business Survey</w:t>
      </w:r>
      <w:r w:rsidR="7ADAED28" w:rsidRPr="578A20B6">
        <w:rPr>
          <w:sz w:val="24"/>
          <w:szCs w:val="24"/>
        </w:rPr>
        <w:t xml:space="preserve"> (ABS)</w:t>
      </w:r>
      <w:r w:rsidR="4B3809EA" w:rsidRPr="578A20B6">
        <w:rPr>
          <w:sz w:val="24"/>
          <w:szCs w:val="24"/>
        </w:rPr>
        <w:t xml:space="preserve"> API. Once our data was filtered down to the states of Vermont and Wyoming, we began to create graphs that compared each column of data that we were interested in.</w:t>
      </w:r>
      <w:r w:rsidR="5F70FB9D" w:rsidRPr="578A20B6">
        <w:rPr>
          <w:sz w:val="24"/>
          <w:szCs w:val="24"/>
        </w:rPr>
        <w:t xml:space="preserve"> </w:t>
      </w:r>
      <w:r w:rsidR="37D645E3" w:rsidRPr="578A20B6">
        <w:rPr>
          <w:sz w:val="24"/>
          <w:szCs w:val="24"/>
        </w:rPr>
        <w:t xml:space="preserve">First, </w:t>
      </w:r>
      <w:r w:rsidR="4648A6D1" w:rsidRPr="578A20B6">
        <w:rPr>
          <w:sz w:val="24"/>
          <w:szCs w:val="24"/>
        </w:rPr>
        <w:t>let us</w:t>
      </w:r>
      <w:r w:rsidR="787ABAB0" w:rsidRPr="578A20B6">
        <w:rPr>
          <w:sz w:val="24"/>
          <w:szCs w:val="24"/>
        </w:rPr>
        <w:t xml:space="preserve"> highlight the locations of these two states in the map below.</w:t>
      </w:r>
      <w:r w:rsidR="007C13B3" w:rsidRPr="007C13B3">
        <w:rPr>
          <w:noProof/>
        </w:rPr>
        <w:t xml:space="preserve"> </w:t>
      </w:r>
    </w:p>
    <w:p w14:paraId="11FA01AF" w14:textId="43E818D4" w:rsidR="151DD40F" w:rsidRDefault="007C13B3" w:rsidP="007C13B3">
      <w:pPr>
        <w:spacing w:after="0" w:line="360" w:lineRule="auto"/>
        <w:ind w:firstLine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2F82AA" wp14:editId="3F7D45B5">
            <wp:extent cx="4501977" cy="2781300"/>
            <wp:effectExtent l="76200" t="76200" r="127635" b="133350"/>
            <wp:docPr id="1610406112" name="Picture 1610406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5322" cy="28204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332BB157" w:rsidRPr="04B7A382">
        <w:rPr>
          <w:sz w:val="24"/>
          <w:szCs w:val="24"/>
        </w:rPr>
        <w:t xml:space="preserve"> </w:t>
      </w:r>
    </w:p>
    <w:p w14:paraId="2CC7296C" w14:textId="77777777" w:rsidR="007C13B3" w:rsidRDefault="007C13B3" w:rsidP="007C13B3">
      <w:pPr>
        <w:spacing w:after="0" w:line="360" w:lineRule="auto"/>
        <w:ind w:firstLine="720"/>
      </w:pPr>
    </w:p>
    <w:p w14:paraId="5AA8AA22" w14:textId="510541D1" w:rsidR="151DD40F" w:rsidRDefault="0F22D3F1" w:rsidP="007C13B3">
      <w:pPr>
        <w:spacing w:after="0" w:line="360" w:lineRule="auto"/>
        <w:ind w:firstLine="720"/>
        <w:rPr>
          <w:sz w:val="24"/>
          <w:szCs w:val="24"/>
        </w:rPr>
      </w:pPr>
      <w:r w:rsidRPr="0D2D1FA4">
        <w:rPr>
          <w:sz w:val="24"/>
          <w:szCs w:val="24"/>
        </w:rPr>
        <w:t xml:space="preserve"> </w:t>
      </w:r>
      <w:r w:rsidR="0B586E4C" w:rsidRPr="0D2D1FA4">
        <w:rPr>
          <w:sz w:val="24"/>
          <w:szCs w:val="24"/>
        </w:rPr>
        <w:t>Second</w:t>
      </w:r>
      <w:r w:rsidRPr="0D2D1FA4">
        <w:rPr>
          <w:sz w:val="24"/>
          <w:szCs w:val="24"/>
        </w:rPr>
        <w:t xml:space="preserve">, we </w:t>
      </w:r>
      <w:r w:rsidR="1DA18E94" w:rsidRPr="0D2D1FA4">
        <w:rPr>
          <w:sz w:val="24"/>
          <w:szCs w:val="24"/>
        </w:rPr>
        <w:t xml:space="preserve">compared the sexes of each state and found that </w:t>
      </w:r>
      <w:r w:rsidR="738E92F9" w:rsidRPr="0D2D1FA4">
        <w:rPr>
          <w:sz w:val="24"/>
          <w:szCs w:val="24"/>
        </w:rPr>
        <w:t xml:space="preserve">both Vermont and Wyoming </w:t>
      </w:r>
      <w:r w:rsidR="34C80800" w:rsidRPr="0D2D1FA4">
        <w:rPr>
          <w:sz w:val="24"/>
          <w:szCs w:val="24"/>
        </w:rPr>
        <w:t>share a trend when considering the</w:t>
      </w:r>
      <w:r w:rsidR="01F74699" w:rsidRPr="0D2D1FA4">
        <w:rPr>
          <w:sz w:val="24"/>
          <w:szCs w:val="24"/>
        </w:rPr>
        <w:t xml:space="preserve"> amount of males and females</w:t>
      </w:r>
      <w:r w:rsidR="20750399" w:rsidRPr="0D2D1FA4">
        <w:rPr>
          <w:sz w:val="24"/>
          <w:szCs w:val="24"/>
        </w:rPr>
        <w:t xml:space="preserve"> that own businesses</w:t>
      </w:r>
      <w:r w:rsidR="01F74699" w:rsidRPr="0D2D1FA4">
        <w:rPr>
          <w:sz w:val="24"/>
          <w:szCs w:val="24"/>
        </w:rPr>
        <w:t>.</w:t>
      </w:r>
      <w:r w:rsidR="58C754CC" w:rsidRPr="0D2D1FA4">
        <w:rPr>
          <w:sz w:val="24"/>
          <w:szCs w:val="24"/>
        </w:rPr>
        <w:t xml:space="preserve"> It is worth mentioning that the values in our graphs may be skewed due to the nature of the survey and that quite a few of its questions were not required to be answered.</w:t>
      </w:r>
    </w:p>
    <w:p w14:paraId="4AC0967B" w14:textId="51F7FB17" w:rsidR="04B7A382" w:rsidRDefault="04B7A382" w:rsidP="007C13B3">
      <w:pPr>
        <w:spacing w:after="0" w:line="360" w:lineRule="auto"/>
      </w:pPr>
    </w:p>
    <w:p w14:paraId="01A229B6" w14:textId="25F33811" w:rsidR="23B0D870" w:rsidRDefault="65D0FD01" w:rsidP="007C13B3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C7C7D24" wp14:editId="053E5E9F">
            <wp:extent cx="2725944" cy="2033100"/>
            <wp:effectExtent l="76200" t="76200" r="113030" b="120015"/>
            <wp:docPr id="47938576" name="Picture 47938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944" cy="2033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D3F3F" wp14:editId="75A61BA8">
            <wp:extent cx="2756257" cy="2032739"/>
            <wp:effectExtent l="76200" t="76200" r="120650" b="120015"/>
            <wp:docPr id="613570862" name="Picture 613570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6257" cy="2032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825CA8" w14:textId="5B6C1238" w:rsidR="04B7A382" w:rsidRDefault="04B7A382" w:rsidP="007C13B3">
      <w:pPr>
        <w:spacing w:after="0" w:line="360" w:lineRule="auto"/>
      </w:pPr>
    </w:p>
    <w:p w14:paraId="460170CE" w14:textId="62A563D4" w:rsidR="790DCA3C" w:rsidRDefault="064CE8AC" w:rsidP="007C13B3">
      <w:pPr>
        <w:spacing w:after="0" w:line="360" w:lineRule="auto"/>
        <w:rPr>
          <w:sz w:val="24"/>
          <w:szCs w:val="24"/>
        </w:rPr>
      </w:pPr>
      <w:r w:rsidRPr="04B7A382">
        <w:rPr>
          <w:sz w:val="24"/>
          <w:szCs w:val="24"/>
        </w:rPr>
        <w:t xml:space="preserve">Separately, these graphs are useful to see an individual state’s </w:t>
      </w:r>
      <w:r w:rsidR="6151E7AD" w:rsidRPr="04B7A382">
        <w:rPr>
          <w:sz w:val="24"/>
          <w:szCs w:val="24"/>
        </w:rPr>
        <w:t>breakdown of owner sex. If you wanted to compare the two states against one another, the graph below is catered to that effect:</w:t>
      </w:r>
    </w:p>
    <w:p w14:paraId="5BC53769" w14:textId="7E7C9C2E" w:rsidR="2CEF2875" w:rsidRDefault="2CEF2875" w:rsidP="007C13B3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0468654" wp14:editId="61674DC8">
            <wp:extent cx="4572000" cy="3190875"/>
            <wp:effectExtent l="76200" t="76200" r="114300" b="123825"/>
            <wp:docPr id="781815911" name="Picture 781815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5AB9E9" w14:textId="02DA76B0" w:rsidR="04B7A382" w:rsidRDefault="04B7A382" w:rsidP="007C13B3">
      <w:pPr>
        <w:spacing w:after="0" w:line="360" w:lineRule="auto"/>
        <w:jc w:val="center"/>
      </w:pPr>
    </w:p>
    <w:p w14:paraId="69D32FC4" w14:textId="302DDE19" w:rsidR="7C643A99" w:rsidRDefault="1865A169" w:rsidP="007C13B3">
      <w:pPr>
        <w:spacing w:after="0" w:line="360" w:lineRule="auto"/>
        <w:rPr>
          <w:sz w:val="24"/>
          <w:szCs w:val="24"/>
        </w:rPr>
      </w:pPr>
      <w:r w:rsidRPr="578A20B6">
        <w:rPr>
          <w:sz w:val="24"/>
          <w:szCs w:val="24"/>
        </w:rPr>
        <w:t xml:space="preserve">We were interested in exploring the veteran status of these company owners. </w:t>
      </w:r>
      <w:r w:rsidR="4C2B0B13" w:rsidRPr="578A20B6">
        <w:rPr>
          <w:sz w:val="24"/>
          <w:szCs w:val="24"/>
        </w:rPr>
        <w:t>Like</w:t>
      </w:r>
      <w:r w:rsidR="1D9A9DA3" w:rsidRPr="578A20B6">
        <w:rPr>
          <w:sz w:val="24"/>
          <w:szCs w:val="24"/>
        </w:rPr>
        <w:t xml:space="preserve"> the previous section, this data is split between the states before showing a merged version</w:t>
      </w:r>
      <w:r w:rsidR="2CD61834" w:rsidRPr="578A20B6">
        <w:rPr>
          <w:sz w:val="24"/>
          <w:szCs w:val="24"/>
        </w:rPr>
        <w:t xml:space="preserve"> for comparison purposes</w:t>
      </w:r>
      <w:r w:rsidR="1D9A9DA3" w:rsidRPr="578A20B6">
        <w:rPr>
          <w:sz w:val="24"/>
          <w:szCs w:val="24"/>
        </w:rPr>
        <w:t>.</w:t>
      </w:r>
    </w:p>
    <w:p w14:paraId="68C7FDFE" w14:textId="047EF0C4" w:rsidR="7C643A99" w:rsidRDefault="029089A4" w:rsidP="007C13B3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E86173B" wp14:editId="6EB3E014">
            <wp:extent cx="2742467" cy="2205401"/>
            <wp:effectExtent l="76200" t="76200" r="115570" b="118745"/>
            <wp:docPr id="1067261237" name="Picture 1067261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2467" cy="22054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4F418" wp14:editId="5DEFD302">
            <wp:extent cx="2735222" cy="2199574"/>
            <wp:effectExtent l="76200" t="76200" r="122555" b="106045"/>
            <wp:docPr id="1244622913" name="Picture 1244622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222" cy="21995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6A3C89" w14:textId="273C9E47" w:rsidR="0D2D1FA4" w:rsidRDefault="0D2D1FA4" w:rsidP="007C13B3">
      <w:pPr>
        <w:spacing w:after="0" w:line="360" w:lineRule="auto"/>
        <w:jc w:val="center"/>
      </w:pPr>
    </w:p>
    <w:p w14:paraId="3A6865FA" w14:textId="4EA5D17E" w:rsidR="6D8B6F24" w:rsidRDefault="6D8B6F24" w:rsidP="007C13B3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82B6F9E" wp14:editId="73F45B30">
            <wp:extent cx="5133703" cy="3529420"/>
            <wp:effectExtent l="76200" t="76200" r="105410" b="109220"/>
            <wp:docPr id="1247142398" name="Picture 12471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703" cy="3529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8CD41C" w14:textId="72401522" w:rsidR="32200CEF" w:rsidRDefault="32200CEF" w:rsidP="007C13B3">
      <w:pPr>
        <w:spacing w:after="0" w:line="360" w:lineRule="auto"/>
      </w:pPr>
      <w:r>
        <w:t>We can see that both Vermont and Wyoming have a similar nu</w:t>
      </w:r>
      <w:r w:rsidR="76CC6E68">
        <w:t xml:space="preserve">mber of </w:t>
      </w:r>
      <w:r w:rsidR="0B2BA8C5">
        <w:t>n</w:t>
      </w:r>
      <w:r w:rsidR="76CC6E68">
        <w:t xml:space="preserve">onveteran business owners. However, </w:t>
      </w:r>
      <w:r w:rsidR="03F360D9">
        <w:t>Wyoming</w:t>
      </w:r>
      <w:r w:rsidR="76CC6E68">
        <w:t xml:space="preserve"> has significantly more </w:t>
      </w:r>
      <w:r w:rsidR="60CA79BE">
        <w:t xml:space="preserve">veteran business owners than Vermont. It may be interesting to </w:t>
      </w:r>
      <w:r w:rsidR="275E543B">
        <w:t>investigate</w:t>
      </w:r>
      <w:r w:rsidR="60CA79BE">
        <w:t xml:space="preserve"> why this is the case</w:t>
      </w:r>
      <w:r w:rsidR="6A71958B">
        <w:t>. D</w:t>
      </w:r>
      <w:r w:rsidR="60CA79BE">
        <w:t>o more people from Wyoming join the military, is W</w:t>
      </w:r>
      <w:r w:rsidR="2E11F62E">
        <w:t xml:space="preserve">yoming a common place for veterans to go after </w:t>
      </w:r>
      <w:r w:rsidR="2DA9BD2B">
        <w:t>they have</w:t>
      </w:r>
      <w:r w:rsidR="2E11F62E">
        <w:t xml:space="preserve"> served, or is there another explanation?</w:t>
      </w:r>
    </w:p>
    <w:p w14:paraId="0A8A890C" w14:textId="0DDBE887" w:rsidR="0D2D1FA4" w:rsidRDefault="0D2D1FA4" w:rsidP="007C13B3">
      <w:pPr>
        <w:spacing w:after="0" w:line="360" w:lineRule="auto"/>
        <w:ind w:firstLine="720"/>
      </w:pPr>
    </w:p>
    <w:p w14:paraId="2C7498E1" w14:textId="77777777" w:rsidR="007C13B3" w:rsidRDefault="58B3CB8D" w:rsidP="007C13B3">
      <w:pPr>
        <w:spacing w:after="0" w:line="360" w:lineRule="auto"/>
        <w:ind w:firstLine="720"/>
      </w:pPr>
      <w:r>
        <w:t xml:space="preserve">So far, </w:t>
      </w:r>
      <w:r w:rsidR="2E7E6ECE">
        <w:t>we have</w:t>
      </w:r>
      <w:r>
        <w:t xml:space="preserve"> looked at Sex and Veteran Status of the business owners in Vermont and Wyoming. Next, </w:t>
      </w:r>
      <w:r w:rsidR="1B84223F">
        <w:t>we are</w:t>
      </w:r>
      <w:r>
        <w:t xml:space="preserve"> going to explore the distribution of races within these states. </w:t>
      </w:r>
      <w:r w:rsidR="0BD5AD67">
        <w:t>Instead of having just a binary comparison of “this” or “other</w:t>
      </w:r>
      <w:r w:rsidR="249F0CEA">
        <w:t>,”</w:t>
      </w:r>
      <w:r w:rsidR="0BD5AD67">
        <w:t xml:space="preserve"> we now have multiple categories as can be seen below.</w:t>
      </w:r>
    </w:p>
    <w:p w14:paraId="4CCB459F" w14:textId="16509519" w:rsidR="0D1311D6" w:rsidRDefault="072BD23F" w:rsidP="007C13B3">
      <w:pPr>
        <w:spacing w:after="0" w:line="360" w:lineRule="auto"/>
        <w:ind w:firstLine="720"/>
      </w:pPr>
      <w:r>
        <w:rPr>
          <w:noProof/>
        </w:rPr>
        <w:drawing>
          <wp:inline distT="0" distB="0" distL="0" distR="0" wp14:anchorId="402FC869" wp14:editId="5E6152A3">
            <wp:extent cx="5113020" cy="2599119"/>
            <wp:effectExtent l="76200" t="76200" r="125730" b="125095"/>
            <wp:docPr id="1161994312" name="Picture 116199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68" cy="2680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E9E6CF" w14:textId="139465FD" w:rsidR="076EE59C" w:rsidRDefault="072BD23F" w:rsidP="007C13B3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317B6F6" wp14:editId="7AAF5F2E">
            <wp:extent cx="5872002" cy="2960468"/>
            <wp:effectExtent l="76200" t="76200" r="109855" b="106680"/>
            <wp:docPr id="1762246110" name="Picture 1762246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2002" cy="29604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D2D1FA4">
        <w:rPr>
          <w:noProof/>
        </w:rPr>
        <w:drawing>
          <wp:inline distT="0" distB="0" distL="0" distR="0" wp14:anchorId="341C08B6" wp14:editId="7B0D3B02">
            <wp:extent cx="5895474" cy="3009148"/>
            <wp:effectExtent l="76200" t="76200" r="105410" b="115570"/>
            <wp:docPr id="1562536761" name="Picture 1562536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474" cy="30091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279550" w14:textId="2B52EF0F" w:rsidR="0D2D1FA4" w:rsidRDefault="6CB92483" w:rsidP="007C13B3">
      <w:pPr>
        <w:spacing w:after="0" w:line="360" w:lineRule="auto"/>
        <w:ind w:firstLine="720"/>
      </w:pPr>
      <w:r>
        <w:t>Both</w:t>
      </w:r>
      <w:r w:rsidR="14D311F1">
        <w:t xml:space="preserve"> states’ companies are primarily owned by white people. There are a few </w:t>
      </w:r>
      <w:r w:rsidR="239E338B">
        <w:t>ambiguous</w:t>
      </w:r>
      <w:r w:rsidR="14D311F1">
        <w:t xml:space="preserve"> </w:t>
      </w:r>
      <w:r w:rsidR="1DE1A4D8">
        <w:t xml:space="preserve">labels in the data such as “Minority” or “Nonminority” but </w:t>
      </w:r>
      <w:r w:rsidR="69572C8C">
        <w:t>since</w:t>
      </w:r>
      <w:r w:rsidR="1DE1A4D8">
        <w:t xml:space="preserve"> the survey </w:t>
      </w:r>
      <w:r w:rsidR="2AAED1A0">
        <w:t xml:space="preserve">results are not truly impacted by these extra categories, it would be disingenuous to omit them from the dataset. </w:t>
      </w:r>
      <w:r w:rsidR="10A1BFFA">
        <w:t>Next,</w:t>
      </w:r>
      <w:r w:rsidR="32C1058C">
        <w:t xml:space="preserve"> we’ll look at some financial aspects of companies in these states.</w:t>
      </w:r>
    </w:p>
    <w:p w14:paraId="27A9E2ED" w14:textId="3B7354B9" w:rsidR="007C13B3" w:rsidRDefault="007C13B3" w:rsidP="007C13B3">
      <w:pPr>
        <w:spacing w:after="0" w:line="360" w:lineRule="auto"/>
        <w:ind w:firstLine="720"/>
      </w:pPr>
    </w:p>
    <w:p w14:paraId="528600A4" w14:textId="79D37FB2" w:rsidR="007C13B3" w:rsidRDefault="007C13B3" w:rsidP="007C13B3">
      <w:pPr>
        <w:spacing w:after="0" w:line="360" w:lineRule="auto"/>
        <w:ind w:firstLine="720"/>
      </w:pPr>
    </w:p>
    <w:p w14:paraId="41D6D3FD" w14:textId="77777777" w:rsidR="007C13B3" w:rsidRDefault="007C13B3" w:rsidP="007C13B3">
      <w:pPr>
        <w:spacing w:after="0" w:line="360" w:lineRule="auto"/>
        <w:ind w:firstLine="720"/>
      </w:pPr>
    </w:p>
    <w:p w14:paraId="3CA8F0DE" w14:textId="31875C89" w:rsidR="0D2D1FA4" w:rsidRDefault="61720413" w:rsidP="007C13B3">
      <w:pPr>
        <w:spacing w:after="0" w:line="360" w:lineRule="auto"/>
        <w:ind w:firstLine="720"/>
        <w:rPr>
          <w:rFonts w:ascii="Calibri" w:eastAsia="Calibri" w:hAnsi="Calibri" w:cs="Calibri"/>
        </w:rPr>
      </w:pPr>
      <w:r>
        <w:lastRenderedPageBreak/>
        <w:t>This section of the report covers a category labeled as ‘receipts’</w:t>
      </w:r>
      <w:r w:rsidR="007C13B3">
        <w:t>, which</w:t>
      </w:r>
      <w:r>
        <w:t xml:space="preserve"> encompasses </w:t>
      </w:r>
      <w:r w:rsidRPr="578A20B6">
        <w:rPr>
          <w:rFonts w:ascii="Calibri" w:eastAsia="Calibri" w:hAnsi="Calibri" w:cs="Calibri"/>
        </w:rPr>
        <w:t>the sales, receipts, and revenue size categories of the firms.</w:t>
      </w:r>
    </w:p>
    <w:p w14:paraId="52D9E2BB" w14:textId="74720857" w:rsidR="0D2D1FA4" w:rsidRDefault="012C96AF" w:rsidP="007C13B3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A1FEBD4" wp14:editId="26D813F9">
            <wp:extent cx="2542218" cy="2144996"/>
            <wp:effectExtent l="76200" t="76200" r="106045" b="122555"/>
            <wp:docPr id="1150096526" name="Picture 1150096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2218" cy="21449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90E5E" wp14:editId="286A8832">
            <wp:extent cx="2487958" cy="2151046"/>
            <wp:effectExtent l="76200" t="76200" r="121920" b="116205"/>
            <wp:docPr id="755357860" name="Picture 755357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7958" cy="21510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DB61CC" w14:textId="76203935" w:rsidR="0D2D1FA4" w:rsidRDefault="6A8096FA" w:rsidP="007C13B3">
      <w:pPr>
        <w:spacing w:after="0" w:line="360" w:lineRule="auto"/>
        <w:ind w:firstLine="720"/>
      </w:pPr>
      <w:r>
        <w:t>Because the y-axes for these graphs are all the same, you can tell that Wyoming seems to have a larger number of firms in almost every category. The graph below re</w:t>
      </w:r>
      <w:r w:rsidR="6264FEDF">
        <w:t xml:space="preserve">veals that to be the case, except for the category with values between $5,000 and $10,000 where Wyoming and Vermont </w:t>
      </w:r>
      <w:r w:rsidR="04CEBE5C">
        <w:t xml:space="preserve">appear </w:t>
      </w:r>
      <w:r w:rsidR="6264FEDF">
        <w:t>to have the same n</w:t>
      </w:r>
      <w:r w:rsidR="14C0E96B">
        <w:t>umber of firms.</w:t>
      </w:r>
    </w:p>
    <w:p w14:paraId="71034831" w14:textId="5DF348CD" w:rsidR="0D2D1FA4" w:rsidRDefault="0D2D1FA4" w:rsidP="007C13B3">
      <w:pPr>
        <w:spacing w:after="0" w:line="360" w:lineRule="auto"/>
        <w:jc w:val="center"/>
      </w:pPr>
    </w:p>
    <w:p w14:paraId="6649CB3A" w14:textId="04350237" w:rsidR="0D2D1FA4" w:rsidRDefault="4C1A7686" w:rsidP="007C13B3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3A9306F6" wp14:editId="7161B944">
            <wp:extent cx="3375660" cy="2918539"/>
            <wp:effectExtent l="76200" t="76200" r="129540" b="129540"/>
            <wp:docPr id="1412905012" name="Picture 1412905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6056" cy="29275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20724A" w14:textId="31489522" w:rsidR="5FAEC942" w:rsidRDefault="5FAEC942" w:rsidP="007C13B3">
      <w:pPr>
        <w:spacing w:after="0" w:line="360" w:lineRule="auto"/>
      </w:pPr>
      <w:r>
        <w:t>An interesting case appears at the low end of Vermont’s businesses. Very small businesses seem to break the tren</w:t>
      </w:r>
      <w:r w:rsidR="391ED799">
        <w:t>d and drop off rather quickly from the (relatively) small decreases. Simila</w:t>
      </w:r>
      <w:r w:rsidR="4E766526">
        <w:t xml:space="preserve">rly, Wyoming businesses drop off around the $10k mark but do not drop again after the $5k threshold. </w:t>
      </w:r>
      <w:r w:rsidR="3CB9CEE8">
        <w:t>Again, we’re looking at the number of firms that responded to this survey, that were in Vermont and Wyoming. A notable decrease is considered as &gt;10%</w:t>
      </w:r>
      <w:r w:rsidR="097219EF">
        <w:t>.</w:t>
      </w:r>
    </w:p>
    <w:p w14:paraId="0E828A1E" w14:textId="3C93D0EC" w:rsidR="578A20B6" w:rsidRDefault="578A20B6" w:rsidP="007C13B3">
      <w:pPr>
        <w:spacing w:after="0" w:line="360" w:lineRule="auto"/>
        <w:jc w:val="center"/>
      </w:pPr>
    </w:p>
    <w:p w14:paraId="4D01F2B9" w14:textId="59C447E7" w:rsidR="0D2D1FA4" w:rsidRDefault="0D2D1FA4" w:rsidP="007C13B3">
      <w:pPr>
        <w:spacing w:after="0" w:line="360" w:lineRule="auto"/>
      </w:pPr>
    </w:p>
    <w:p w14:paraId="5CA446D2" w14:textId="61DB388E" w:rsidR="55733489" w:rsidRDefault="445E2441" w:rsidP="007C13B3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78A47967" wp14:editId="7E9C21D4">
            <wp:extent cx="2766540" cy="1798251"/>
            <wp:effectExtent l="76200" t="76200" r="110490" b="107315"/>
            <wp:docPr id="311379985" name="Picture 311379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6540" cy="17982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91D66" wp14:editId="182B32DA">
            <wp:extent cx="2616491" cy="1787936"/>
            <wp:effectExtent l="76200" t="76200" r="107950" b="117475"/>
            <wp:docPr id="982486126" name="Picture 982486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6491" cy="17879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D7628F" w14:textId="09D9E001" w:rsidR="790DCA3C" w:rsidRDefault="790DCA3C" w:rsidP="007C13B3">
      <w:pPr>
        <w:spacing w:after="0" w:line="360" w:lineRule="auto"/>
      </w:pPr>
    </w:p>
    <w:p w14:paraId="76F6E442" w14:textId="0D714E98" w:rsidR="790DCA3C" w:rsidRDefault="1B6D3274" w:rsidP="007C13B3">
      <w:pPr>
        <w:spacing w:after="0" w:line="360" w:lineRule="auto"/>
      </w:pPr>
      <w:r>
        <w:t xml:space="preserve">Finally, we wanted to </w:t>
      </w:r>
      <w:r w:rsidR="1A96D304">
        <w:t>look</w:t>
      </w:r>
      <w:r>
        <w:t xml:space="preserve"> at the number of employees a company </w:t>
      </w:r>
      <w:r w:rsidR="7392CA09">
        <w:t>employ</w:t>
      </w:r>
      <w:r w:rsidR="3DB1A0EB">
        <w:t>s</w:t>
      </w:r>
      <w:r>
        <w:t xml:space="preserve"> compared to the annual payroll a company </w:t>
      </w:r>
      <w:r w:rsidR="41853BA0">
        <w:t>has</w:t>
      </w:r>
      <w:r>
        <w:t xml:space="preserve"> for both Vermont and Wyoming.</w:t>
      </w:r>
      <w:r w:rsidR="7324015F">
        <w:t xml:space="preserve"> As you can see for both Vermont and Wyoming, as the number of employees for a company goes up so does the annual payroll of that company.</w:t>
      </w:r>
      <w:r w:rsidR="4C940FB6">
        <w:t xml:space="preserve"> This is not a surprise at </w:t>
      </w:r>
      <w:r w:rsidR="2A899A0B">
        <w:t>all,</w:t>
      </w:r>
      <w:r w:rsidR="4C940FB6">
        <w:t xml:space="preserve"> and it is good to see that the data supports </w:t>
      </w:r>
      <w:r w:rsidR="2C554AF9">
        <w:t>what we think logically should happen.</w:t>
      </w:r>
      <w:r w:rsidR="65FEAC74">
        <w:t xml:space="preserve"> </w:t>
      </w:r>
    </w:p>
    <w:p w14:paraId="2A89BAA1" w14:textId="2EFC97A9" w:rsidR="790DCA3C" w:rsidRDefault="65FEAC74" w:rsidP="007C13B3">
      <w:pPr>
        <w:spacing w:after="0" w:line="360" w:lineRule="auto"/>
        <w:ind w:firstLine="720"/>
      </w:pPr>
      <w:r>
        <w:t>One thing that is interesting to compare between Vermont and Wyoming is</w:t>
      </w:r>
      <w:r w:rsidR="01389E44">
        <w:t xml:space="preserve"> where </w:t>
      </w:r>
      <w:r w:rsidR="339488CF">
        <w:t>each of the three “clusters” of dots start and end. For example, in both Vermont and Wyoming the busines</w:t>
      </w:r>
      <w:r w:rsidR="63B73F81">
        <w:t>ses having less than 50,000 employees also only have an annual payroll ranging from the tens of</w:t>
      </w:r>
      <w:r w:rsidR="15A46163">
        <w:t xml:space="preserve"> thousands to about 1,000,000.</w:t>
      </w:r>
      <w:r w:rsidR="09F0D293">
        <w:t xml:space="preserve"> In the middle cluster, </w:t>
      </w:r>
      <w:r w:rsidR="064A8923">
        <w:t xml:space="preserve">where Vermont and Wyoming both have employee counts between 50,000 and 150,000, Vermont’s annual payroll ranges from </w:t>
      </w:r>
      <w:r w:rsidR="65898275">
        <w:t xml:space="preserve">about 2,000,000 to 6,000,000, </w:t>
      </w:r>
      <w:r w:rsidR="007C13B3">
        <w:t>whereas</w:t>
      </w:r>
      <w:r w:rsidR="65898275">
        <w:t xml:space="preserve"> Wyoming’s ranges from about 3,000,000 to 6,000,000. This could indicate that medium sized business in Wyoming pay their employees more than medium sized businesses in Vermont. Finally</w:t>
      </w:r>
      <w:r w:rsidR="5052F8DB">
        <w:t>,</w:t>
      </w:r>
      <w:r w:rsidR="65898275">
        <w:t xml:space="preserve"> when looking a</w:t>
      </w:r>
      <w:r w:rsidR="3B813C6E">
        <w:t xml:space="preserve">t the </w:t>
      </w:r>
      <w:r w:rsidR="50C1C185">
        <w:t>few dots for Vermont and Wyoming having more than 150,000 employees, we can see that Vermont has only one company with an annual payroll</w:t>
      </w:r>
      <w:r w:rsidR="685282EB">
        <w:t xml:space="preserve"> of about 9,000,000 and Wyoming has two companies that range from about 8,000,000 and 10,000,000 in annual payroll. Unfortunately, I would say there is not enough data for this range of companies to draw any</w:t>
      </w:r>
      <w:r w:rsidR="074B0E9C">
        <w:t xml:space="preserve"> conclusions.</w:t>
      </w:r>
    </w:p>
    <w:p w14:paraId="52E9F139" w14:textId="157DD3EB" w:rsidR="578A20B6" w:rsidRDefault="578A20B6" w:rsidP="007C13B3">
      <w:pPr>
        <w:spacing w:after="0" w:line="360" w:lineRule="auto"/>
        <w:ind w:firstLine="720"/>
      </w:pPr>
    </w:p>
    <w:p w14:paraId="361D01CD" w14:textId="56AC311F" w:rsidR="578A20B6" w:rsidRDefault="578A20B6" w:rsidP="007C13B3">
      <w:pPr>
        <w:spacing w:after="0" w:line="360" w:lineRule="auto"/>
        <w:ind w:firstLine="720"/>
      </w:pPr>
    </w:p>
    <w:p w14:paraId="26E56068" w14:textId="77777777" w:rsidR="007C13B3" w:rsidRDefault="007C13B3" w:rsidP="007C13B3">
      <w:pPr>
        <w:spacing w:after="0" w:line="360" w:lineRule="auto"/>
        <w:ind w:firstLine="720"/>
      </w:pPr>
    </w:p>
    <w:p w14:paraId="288A2E88" w14:textId="54F1A873" w:rsidR="282730A8" w:rsidRDefault="282730A8" w:rsidP="007C13B3">
      <w:pPr>
        <w:spacing w:after="0" w:line="360" w:lineRule="auto"/>
      </w:pPr>
      <w:r w:rsidRPr="578A20B6">
        <w:rPr>
          <w:b/>
          <w:bCs/>
          <w:u w:val="single"/>
        </w:rPr>
        <w:t>Feedback Response:</w:t>
      </w:r>
    </w:p>
    <w:p w14:paraId="306FDADA" w14:textId="4D0D5738" w:rsidR="578A20B6" w:rsidRDefault="282730A8" w:rsidP="007C13B3">
      <w:pPr>
        <w:spacing w:after="0" w:line="360" w:lineRule="auto"/>
      </w:pPr>
      <w:r>
        <w:t xml:space="preserve">Feedback from our presentation </w:t>
      </w:r>
      <w:r w:rsidR="56256868">
        <w:t xml:space="preserve">requested that we adjust the scales of the last two graphs to match, helping to compare them easier. A simple code addendum setting our x- and y-axes limits quickly resolved that issue. </w:t>
      </w:r>
      <w:r w:rsidR="53006A21">
        <w:t xml:space="preserve">In addition to the equivalent scales, a trendline was added, also a fix from our presentation </w:t>
      </w:r>
      <w:r w:rsidR="7CBC8A6F">
        <w:t xml:space="preserve">critique. </w:t>
      </w:r>
      <w:r w:rsidR="24762878">
        <w:t xml:space="preserve">We then adjusted our colors to be consistent through </w:t>
      </w:r>
      <w:r w:rsidR="29C684BD">
        <w:t>all</w:t>
      </w:r>
      <w:r w:rsidR="24762878">
        <w:t xml:space="preserve"> our visualizations.</w:t>
      </w:r>
    </w:p>
    <w:sectPr w:rsidR="578A20B6" w:rsidSect="007C13B3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096722413" textId="457903696" start="24" length="8" invalidationStart="24" invalidationLength="8" id="Yehly5T/"/>
    <int:ParagraphRange paragraphId="130492500" textId="1787035492" start="61" length="7" invalidationStart="61" invalidationLength="7" id="++Hy/HUV"/>
  </int:Manifest>
  <int:Observations>
    <int:Content id="Yehly5T/">
      <int:Rejection type="LegacyProofing"/>
    </int:Content>
    <int:Content id="++Hy/HU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D67C9"/>
    <w:multiLevelType w:val="hybridMultilevel"/>
    <w:tmpl w:val="915C1C2C"/>
    <w:lvl w:ilvl="0" w:tplc="2E18B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EC3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8AA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23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4D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6C5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06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29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E9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653FE"/>
    <w:multiLevelType w:val="hybridMultilevel"/>
    <w:tmpl w:val="E3E66EA0"/>
    <w:lvl w:ilvl="0" w:tplc="893EA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C68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24D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A2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89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D07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943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68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88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D8EF7F"/>
    <w:rsid w:val="001E4D6B"/>
    <w:rsid w:val="00360268"/>
    <w:rsid w:val="007C13B3"/>
    <w:rsid w:val="012C96AF"/>
    <w:rsid w:val="01389E44"/>
    <w:rsid w:val="01F74699"/>
    <w:rsid w:val="021E900C"/>
    <w:rsid w:val="029089A4"/>
    <w:rsid w:val="03A8FF78"/>
    <w:rsid w:val="03D02553"/>
    <w:rsid w:val="03F360D9"/>
    <w:rsid w:val="04B7A382"/>
    <w:rsid w:val="04BDAF1A"/>
    <w:rsid w:val="04C2EC27"/>
    <w:rsid w:val="04CEBE5C"/>
    <w:rsid w:val="05AFBDB3"/>
    <w:rsid w:val="064A8923"/>
    <w:rsid w:val="064CE8AC"/>
    <w:rsid w:val="072BD23F"/>
    <w:rsid w:val="074B0E9C"/>
    <w:rsid w:val="076050F0"/>
    <w:rsid w:val="076EE59C"/>
    <w:rsid w:val="084D57FD"/>
    <w:rsid w:val="08A06295"/>
    <w:rsid w:val="08D6E557"/>
    <w:rsid w:val="08E9F450"/>
    <w:rsid w:val="08F8D49A"/>
    <w:rsid w:val="091C8305"/>
    <w:rsid w:val="0958E41E"/>
    <w:rsid w:val="097219EF"/>
    <w:rsid w:val="09F0D293"/>
    <w:rsid w:val="0AA6500C"/>
    <w:rsid w:val="0B2BA8C5"/>
    <w:rsid w:val="0B586E4C"/>
    <w:rsid w:val="0BD5AD67"/>
    <w:rsid w:val="0C604DAB"/>
    <w:rsid w:val="0CFAD36E"/>
    <w:rsid w:val="0D067D66"/>
    <w:rsid w:val="0D1311D6"/>
    <w:rsid w:val="0D2D1FA4"/>
    <w:rsid w:val="0DA50AB2"/>
    <w:rsid w:val="0DD58971"/>
    <w:rsid w:val="0DFFDCB2"/>
    <w:rsid w:val="0E320993"/>
    <w:rsid w:val="0F22D3F1"/>
    <w:rsid w:val="0F2BBB78"/>
    <w:rsid w:val="0F68161E"/>
    <w:rsid w:val="0F8766B9"/>
    <w:rsid w:val="0F8D6395"/>
    <w:rsid w:val="0F9A67F8"/>
    <w:rsid w:val="0FCFC024"/>
    <w:rsid w:val="0FF8F04B"/>
    <w:rsid w:val="1038101D"/>
    <w:rsid w:val="1039E4B0"/>
    <w:rsid w:val="10A1BFFA"/>
    <w:rsid w:val="11DD7A5E"/>
    <w:rsid w:val="124D1D4F"/>
    <w:rsid w:val="12809619"/>
    <w:rsid w:val="130D8A47"/>
    <w:rsid w:val="1333C7EB"/>
    <w:rsid w:val="133F8D9D"/>
    <w:rsid w:val="135C968D"/>
    <w:rsid w:val="13688A24"/>
    <w:rsid w:val="1398CC10"/>
    <w:rsid w:val="13AA83D4"/>
    <w:rsid w:val="13EFEA02"/>
    <w:rsid w:val="1456DCC8"/>
    <w:rsid w:val="14C0E96B"/>
    <w:rsid w:val="14D311F1"/>
    <w:rsid w:val="151DD40F"/>
    <w:rsid w:val="1576DB71"/>
    <w:rsid w:val="15920563"/>
    <w:rsid w:val="15A46163"/>
    <w:rsid w:val="15B5E047"/>
    <w:rsid w:val="169F047F"/>
    <w:rsid w:val="16CB84BF"/>
    <w:rsid w:val="1703F619"/>
    <w:rsid w:val="174B9504"/>
    <w:rsid w:val="178067C6"/>
    <w:rsid w:val="17F42D37"/>
    <w:rsid w:val="1865A169"/>
    <w:rsid w:val="189B4ACC"/>
    <w:rsid w:val="19AF0EAF"/>
    <w:rsid w:val="19E0C6F6"/>
    <w:rsid w:val="1A0A1E18"/>
    <w:rsid w:val="1A444FCA"/>
    <w:rsid w:val="1A96D304"/>
    <w:rsid w:val="1ACDCB53"/>
    <w:rsid w:val="1AE6A01C"/>
    <w:rsid w:val="1B53466D"/>
    <w:rsid w:val="1B6D3274"/>
    <w:rsid w:val="1B84223F"/>
    <w:rsid w:val="1BD8277C"/>
    <w:rsid w:val="1C2C924B"/>
    <w:rsid w:val="1C65805A"/>
    <w:rsid w:val="1D9A9DA3"/>
    <w:rsid w:val="1D9C073A"/>
    <w:rsid w:val="1DA18E94"/>
    <w:rsid w:val="1DA8E8E4"/>
    <w:rsid w:val="1DE1A4D8"/>
    <w:rsid w:val="1F37D79B"/>
    <w:rsid w:val="1F74498C"/>
    <w:rsid w:val="1F91AEFF"/>
    <w:rsid w:val="20750399"/>
    <w:rsid w:val="2143CB6D"/>
    <w:rsid w:val="21548098"/>
    <w:rsid w:val="217C4CE3"/>
    <w:rsid w:val="21D6947D"/>
    <w:rsid w:val="22565000"/>
    <w:rsid w:val="2267B40A"/>
    <w:rsid w:val="229928AC"/>
    <w:rsid w:val="239E338B"/>
    <w:rsid w:val="23AC10B5"/>
    <w:rsid w:val="23B0D870"/>
    <w:rsid w:val="24762878"/>
    <w:rsid w:val="249F0CEA"/>
    <w:rsid w:val="2530C3F8"/>
    <w:rsid w:val="25BD1FCE"/>
    <w:rsid w:val="25FAB4DE"/>
    <w:rsid w:val="26289A45"/>
    <w:rsid w:val="275E543B"/>
    <w:rsid w:val="279F4169"/>
    <w:rsid w:val="280A5101"/>
    <w:rsid w:val="282730A8"/>
    <w:rsid w:val="29C684BD"/>
    <w:rsid w:val="2A899A0B"/>
    <w:rsid w:val="2AA69220"/>
    <w:rsid w:val="2AAED1A0"/>
    <w:rsid w:val="2BC756B2"/>
    <w:rsid w:val="2BE892D8"/>
    <w:rsid w:val="2C2C6152"/>
    <w:rsid w:val="2C4B8219"/>
    <w:rsid w:val="2C554AF9"/>
    <w:rsid w:val="2C99E00D"/>
    <w:rsid w:val="2CB32C1F"/>
    <w:rsid w:val="2CD61834"/>
    <w:rsid w:val="2CEF2875"/>
    <w:rsid w:val="2D17BBF6"/>
    <w:rsid w:val="2DA9BD2B"/>
    <w:rsid w:val="2E11F62E"/>
    <w:rsid w:val="2E7E6ECE"/>
    <w:rsid w:val="2EA43227"/>
    <w:rsid w:val="2EB26276"/>
    <w:rsid w:val="2EC0E659"/>
    <w:rsid w:val="2F763E22"/>
    <w:rsid w:val="2F8642B1"/>
    <w:rsid w:val="30C31ED8"/>
    <w:rsid w:val="32200CEF"/>
    <w:rsid w:val="32243CD5"/>
    <w:rsid w:val="32C1058C"/>
    <w:rsid w:val="332BB157"/>
    <w:rsid w:val="332FA1D3"/>
    <w:rsid w:val="339488CF"/>
    <w:rsid w:val="33A88E26"/>
    <w:rsid w:val="33D81F7B"/>
    <w:rsid w:val="33DDB9B9"/>
    <w:rsid w:val="34C80800"/>
    <w:rsid w:val="34E49A91"/>
    <w:rsid w:val="35048D3C"/>
    <w:rsid w:val="355C0202"/>
    <w:rsid w:val="35798A1A"/>
    <w:rsid w:val="357E40C2"/>
    <w:rsid w:val="35E14C50"/>
    <w:rsid w:val="3624B639"/>
    <w:rsid w:val="371A1123"/>
    <w:rsid w:val="376E1FB3"/>
    <w:rsid w:val="37D645E3"/>
    <w:rsid w:val="38CF09E1"/>
    <w:rsid w:val="3907D523"/>
    <w:rsid w:val="391ED799"/>
    <w:rsid w:val="397F6D99"/>
    <w:rsid w:val="39A94DC7"/>
    <w:rsid w:val="3A843AAD"/>
    <w:rsid w:val="3AF4F37B"/>
    <w:rsid w:val="3B813C6E"/>
    <w:rsid w:val="3BFB2CE8"/>
    <w:rsid w:val="3C02B2B1"/>
    <w:rsid w:val="3C4CFBDD"/>
    <w:rsid w:val="3C5DE898"/>
    <w:rsid w:val="3CB9CEE8"/>
    <w:rsid w:val="3CEDF0A6"/>
    <w:rsid w:val="3D707DDE"/>
    <w:rsid w:val="3D72102B"/>
    <w:rsid w:val="3DB1A0EB"/>
    <w:rsid w:val="3DE8CC3E"/>
    <w:rsid w:val="3EB4DE91"/>
    <w:rsid w:val="3EDFC312"/>
    <w:rsid w:val="3F206C60"/>
    <w:rsid w:val="3F2FA1CB"/>
    <w:rsid w:val="3F930A57"/>
    <w:rsid w:val="40AD9F4E"/>
    <w:rsid w:val="413C845F"/>
    <w:rsid w:val="414CDDA2"/>
    <w:rsid w:val="41853BA0"/>
    <w:rsid w:val="422544AC"/>
    <w:rsid w:val="4235BEB2"/>
    <w:rsid w:val="42FCC3A7"/>
    <w:rsid w:val="4327A288"/>
    <w:rsid w:val="43830F85"/>
    <w:rsid w:val="445E2441"/>
    <w:rsid w:val="448A3591"/>
    <w:rsid w:val="4512C260"/>
    <w:rsid w:val="45D006B4"/>
    <w:rsid w:val="4648A6D1"/>
    <w:rsid w:val="46A6C819"/>
    <w:rsid w:val="475B2823"/>
    <w:rsid w:val="4773FCEC"/>
    <w:rsid w:val="477ABB82"/>
    <w:rsid w:val="47E85FD7"/>
    <w:rsid w:val="481C03DF"/>
    <w:rsid w:val="48A0C6BE"/>
    <w:rsid w:val="48BCC2B5"/>
    <w:rsid w:val="498BDE70"/>
    <w:rsid w:val="4A7E2977"/>
    <w:rsid w:val="4AB25C44"/>
    <w:rsid w:val="4AD7A32E"/>
    <w:rsid w:val="4AF1EEE8"/>
    <w:rsid w:val="4B05BA70"/>
    <w:rsid w:val="4B3809EA"/>
    <w:rsid w:val="4B4CB650"/>
    <w:rsid w:val="4BA1E9DC"/>
    <w:rsid w:val="4BF2BECD"/>
    <w:rsid w:val="4BF3D117"/>
    <w:rsid w:val="4C1A7686"/>
    <w:rsid w:val="4C2B0B13"/>
    <w:rsid w:val="4C5518B1"/>
    <w:rsid w:val="4C940FB6"/>
    <w:rsid w:val="4DE1CB9C"/>
    <w:rsid w:val="4E3D5B32"/>
    <w:rsid w:val="4E766526"/>
    <w:rsid w:val="4F659398"/>
    <w:rsid w:val="4FE4090D"/>
    <w:rsid w:val="4FEB3B4B"/>
    <w:rsid w:val="5052F8DB"/>
    <w:rsid w:val="505B0F45"/>
    <w:rsid w:val="50ABD8A3"/>
    <w:rsid w:val="50C1C185"/>
    <w:rsid w:val="5167DA42"/>
    <w:rsid w:val="53006A21"/>
    <w:rsid w:val="5506FC24"/>
    <w:rsid w:val="55733489"/>
    <w:rsid w:val="55FD8C73"/>
    <w:rsid w:val="56256868"/>
    <w:rsid w:val="56331044"/>
    <w:rsid w:val="56607F96"/>
    <w:rsid w:val="56C93E7F"/>
    <w:rsid w:val="578A20B6"/>
    <w:rsid w:val="5820A071"/>
    <w:rsid w:val="58B3CB8D"/>
    <w:rsid w:val="58C754CC"/>
    <w:rsid w:val="591F04C8"/>
    <w:rsid w:val="59B049D4"/>
    <w:rsid w:val="5A184136"/>
    <w:rsid w:val="5AE84F98"/>
    <w:rsid w:val="5B698B02"/>
    <w:rsid w:val="5C752ABC"/>
    <w:rsid w:val="5F298EFC"/>
    <w:rsid w:val="5F70FB9D"/>
    <w:rsid w:val="5F99282F"/>
    <w:rsid w:val="5FAEC942"/>
    <w:rsid w:val="5FC42760"/>
    <w:rsid w:val="5FCD7CDF"/>
    <w:rsid w:val="60AF51F6"/>
    <w:rsid w:val="60CA79BE"/>
    <w:rsid w:val="611FC825"/>
    <w:rsid w:val="6151E7AD"/>
    <w:rsid w:val="6156995D"/>
    <w:rsid w:val="61720413"/>
    <w:rsid w:val="61BB1374"/>
    <w:rsid w:val="625F2F00"/>
    <w:rsid w:val="6264FEDF"/>
    <w:rsid w:val="62688DEE"/>
    <w:rsid w:val="627E8F1D"/>
    <w:rsid w:val="62EF58BB"/>
    <w:rsid w:val="63065DFD"/>
    <w:rsid w:val="639F53AF"/>
    <w:rsid w:val="63A49A59"/>
    <w:rsid w:val="63B73F81"/>
    <w:rsid w:val="6419C209"/>
    <w:rsid w:val="653C7792"/>
    <w:rsid w:val="657F00ED"/>
    <w:rsid w:val="65898275"/>
    <w:rsid w:val="658BF806"/>
    <w:rsid w:val="65D0FD01"/>
    <w:rsid w:val="65D8EF7F"/>
    <w:rsid w:val="65FEAC74"/>
    <w:rsid w:val="662ABDC4"/>
    <w:rsid w:val="666F4A6B"/>
    <w:rsid w:val="66A11C15"/>
    <w:rsid w:val="670831E6"/>
    <w:rsid w:val="671EC532"/>
    <w:rsid w:val="685282EB"/>
    <w:rsid w:val="687ADF16"/>
    <w:rsid w:val="68A52BDC"/>
    <w:rsid w:val="6902A6FD"/>
    <w:rsid w:val="69059165"/>
    <w:rsid w:val="69443A75"/>
    <w:rsid w:val="69572C8C"/>
    <w:rsid w:val="697393BC"/>
    <w:rsid w:val="69836D4E"/>
    <w:rsid w:val="6A212638"/>
    <w:rsid w:val="6A71958B"/>
    <w:rsid w:val="6A739FD3"/>
    <w:rsid w:val="6A8096FA"/>
    <w:rsid w:val="6B079ED0"/>
    <w:rsid w:val="6B58C65A"/>
    <w:rsid w:val="6B71EEB7"/>
    <w:rsid w:val="6C6A2CBA"/>
    <w:rsid w:val="6CB92483"/>
    <w:rsid w:val="6D569153"/>
    <w:rsid w:val="6D8B6F24"/>
    <w:rsid w:val="6E8B8B94"/>
    <w:rsid w:val="6EE1AE62"/>
    <w:rsid w:val="6F7D60E1"/>
    <w:rsid w:val="6F8E9DD3"/>
    <w:rsid w:val="703E98C7"/>
    <w:rsid w:val="7229AEE2"/>
    <w:rsid w:val="7324015F"/>
    <w:rsid w:val="738E92F9"/>
    <w:rsid w:val="7392CA09"/>
    <w:rsid w:val="744A93F0"/>
    <w:rsid w:val="745DB7B8"/>
    <w:rsid w:val="74DD5A30"/>
    <w:rsid w:val="74FA0E62"/>
    <w:rsid w:val="75F875CF"/>
    <w:rsid w:val="7651132F"/>
    <w:rsid w:val="76CC6E68"/>
    <w:rsid w:val="7728133B"/>
    <w:rsid w:val="7740E804"/>
    <w:rsid w:val="77EB27A4"/>
    <w:rsid w:val="780BF206"/>
    <w:rsid w:val="78232B41"/>
    <w:rsid w:val="7828ABEF"/>
    <w:rsid w:val="787ABAB0"/>
    <w:rsid w:val="788D72AB"/>
    <w:rsid w:val="790DCA3C"/>
    <w:rsid w:val="7A1B458E"/>
    <w:rsid w:val="7ADAED28"/>
    <w:rsid w:val="7B1727D4"/>
    <w:rsid w:val="7C1EE518"/>
    <w:rsid w:val="7C643A99"/>
    <w:rsid w:val="7CBC8A6F"/>
    <w:rsid w:val="7D6A2426"/>
    <w:rsid w:val="7E36F455"/>
    <w:rsid w:val="7EE29471"/>
    <w:rsid w:val="7F862FB8"/>
    <w:rsid w:val="7F9F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6D0C"/>
  <w15:chartTrackingRefBased/>
  <w15:docId w15:val="{174C8FA1-2C9B-4A46-8179-EC596541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b7f20db21ce64ac2" Type="http://schemas.microsoft.com/office/2019/09/relationships/intelligence" Target="intelligenc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ensus.gov/data/developers/data-sets/abs.2019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7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Shell</dc:creator>
  <cp:keywords/>
  <dc:description/>
  <cp:lastModifiedBy>Aaron Janaszak</cp:lastModifiedBy>
  <cp:revision>2</cp:revision>
  <cp:lastPrinted>2021-10-10T00:37:00Z</cp:lastPrinted>
  <dcterms:created xsi:type="dcterms:W3CDTF">2021-10-10T15:32:00Z</dcterms:created>
  <dcterms:modified xsi:type="dcterms:W3CDTF">2021-10-10T15:32:00Z</dcterms:modified>
</cp:coreProperties>
</file>