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圓內兩弦相交的內冪定理</w:t>
      </w:r>
    </w:p>
    <w:p>
      <w:pPr>
        <w:pStyle w:val="Heading1"/>
      </w:pPr>
      <w:r>
        <w:t xml:space="preserve">若弦 AB 與弦 CD 在圓內交於 P，則 PA·PB=PC·PD。若以圓心 O、半徑 R 表示，內點的有向冪為 PO²−R²&lt;0；無向弦段乘積等於 R²−PO²。</w:t>
      </w:r>
    </w:p>
    <w:p>
      <w:pPr>
        <w:pStyle w:val="Heading1"/>
      </w:pPr>
      <w:r>
        <w:t xml:space="preserve">公式與符號</w:t>
      </w:r>
    </w:p>
    <w:p>
      <w:pPr>
        <w:pStyle w:val="Normal"/>
      </w:pPr>
      <w:r>
        <w:t xml:space="preserve">PA 等表示線段長度。圓的半徑為 R、圓心為 O；有向冪定義為 PO²−R²。</w:t>
      </w:r>
    </w:p>
    <w:p>
      <w:pPr>
        <w:pStyle w:val="Heading1"/>
      </w:pPr>
      <w:r>
        <w:t xml:space="preserve">證明</w:t>
      </w:r>
    </w:p>
    <w:p>
      <w:pPr>
        <w:pStyle w:val="Heading1"/>
      </w:pPr>
      <w:r>
        <w:t xml:space="preserve">相似三角形證明</w:t>
      </w:r>
    </w:p>
    <w:p>
      <w:pPr>
        <w:pStyle w:val="Normal"/>
      </w:pPr>
      <w:r>
        <w:t xml:space="preserve">連結 A、C、D、B。∠APC 與 ∠DPB 是對頂角；∠ACP=∠ACD 與 ∠DBP=∠DBA 同為截弧 AD 的圓周角，因此 △APC∼△DPB。對應邊成比例，AP/DP=PC/PB，交叉相乘得 PA·PB=PC·PD。</w:t>
      </w:r>
    </w:p>
    <w:p>
      <w:pPr>
        <w:pStyle w:val="Normal"/>
      </w:pPr>
      <w:r>
        <w:t xml:space="preserve">有向冪把內點與外點的結果統一。以圓心 O、半徑 R 定義點 P 的有向冪為 PO²−R²：P 在圓內時為負，所以無向線段長度乘積 PA·PB=R²−PO² 是正值，恰為有向冪的相反數。若在割線上固定方向並使用有向線段，兩交點的有向距離乘積則等於 PO²−R²；圓內兩段異號，圓外兩段同號，因此圓外的割線乘積為正。若 PT 為切線長，OT⊥PT，由畢氏定理 PO²=OT²+PT²=R²+PT²，所以 PT²=PO²−R²；切線情形也納入同一圓冪公式。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486400" cy="3429000"/>
            <wp:docPr id="1" name="幾何示意圖"/>
            <a:graphic>
              <a:graphicData uri="http://schemas.openxmlformats.org/drawingml/2006/picture">
                <pic:pic>
                  <pic:nvPicPr>
                    <pic:cNvPr id="0" name="diagram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圖為依定理條件繪製的示意圖，非依比例。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