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卡爾松不等式</w:t>
      </w:r>
    </w:p>
    <w:p>
      <w:pPr>
        <w:pStyle w:val="Subtitle"/>
      </w:pPr>
      <w:r>
        <w:t xml:space="preserve">積分版、數列版與最佳常數 π</w:t>
      </w:r>
    </w:p>
    <w:p>
      <w:pPr>
        <w:pStyle w:val="Normal"/>
      </w:pPr>
      <w:r>
        <w:t xml:space="preserve">卡爾松不等式常見有積分與數列兩種表述。兩者都用 Cauchy–Schwarz 不等式，並以一個可調參數平衡「未加權平方和」與「帶 x² 或 n² 的平方和」。</w:t>
      </w:r>
    </w:p>
    <w:p>
      <w:pPr>
        <w:pStyle w:val="Heading1"/>
      </w:pPr>
      <w:r>
        <w:t xml:space="preserve">一、積分版定理</w:t>
      </w:r>
    </w:p>
    <w:p>
      <w:pPr>
        <w:pStyle w:val="Normal"/>
      </w:pPr>
      <w:r>
        <w:t xml:space="preserve">設 f:[0,∞)→[0,∞) 可測，並令下列積分有限：</w:t>
      </w:r>
    </w:p>
    <w:p>
      <w:pPr>
        <w:pStyle w:val="Equation"/>
      </w:pPr>
      <w:r>
        <w:t xml:space="preserve">I₀=∫₀∞ f(x)² dx，　I₂=∫₀∞ x²f(x)² dx。</w:t>
      </w:r>
    </w:p>
    <w:p>
      <w:pPr>
        <w:pStyle w:val="Equation"/>
      </w:pPr>
      <w:r>
        <w:t xml:space="preserve">邊界情形先行處理：若 I₀=0，則 f=0 幾乎處處；若 I₂=0，則在 x&gt;0 幾乎處處有 f(x)=0，也因此 f=0 幾乎處處。兩種情形下不等式均平凡成立。以下討論非零函數，此時 I₀&gt;0 且 I₂&gt;0，故最佳參數 a=√(I₂／I₀)&gt;0 有定義，沒有除以零問題。</w:t>
      </w:r>
    </w:p>
    <w:p>
      <w:pPr>
        <w:pStyle w:val="Normal"/>
      </w:pPr>
      <w:r>
        <w:t xml:space="preserve">則 f 可積，且：</w:t>
      </w:r>
    </w:p>
    <w:p>
      <w:pPr>
        <w:pStyle w:val="Equation"/>
      </w:pPr>
      <w:r>
        <w:t xml:space="preserve">(∫₀∞ f(x) dx)² ≤ π√(I₀I₂)。</w:t>
      </w:r>
    </w:p>
    <w:p>
      <w:pPr>
        <w:pStyle w:val="Normal"/>
      </w:pPr>
      <w:r>
        <w:t xml:space="preserve">等價地，∫f ≤ √π (I₀I₂)^(1/4)。若 f 可正可負，將左側改為 |∫f|，同一不等式仍成立。</w:t>
      </w:r>
    </w:p>
    <w:p>
      <w:pPr>
        <w:pStyle w:val="Heading1"/>
      </w:pPr>
      <w:r>
        <w:t xml:space="preserve">二、積分版證明：加參數的 Cauchy–Schwarz</w:t>
      </w:r>
    </w:p>
    <w:p>
      <w:pPr>
        <w:pStyle w:val="Normal"/>
      </w:pPr>
      <w:r>
        <w:t xml:space="preserve">對任意 a&gt;0，將被積函數拆成兩個因子：</w:t>
      </w:r>
    </w:p>
    <w:p>
      <w:pPr>
        <w:pStyle w:val="Equation"/>
      </w:pPr>
      <w:r>
        <w:t xml:space="preserve">f(x)=[f(x)√(a²+x²)]·[1／√(a²+x²)]。</w:t>
      </w:r>
    </w:p>
    <w:p>
      <w:pPr>
        <w:pStyle w:val="Normal"/>
      </w:pPr>
      <w:r>
        <w:t xml:space="preserve">套用 Cauchy–Schwarz，並使用反正切積分：</w:t>
      </w:r>
    </w:p>
    <w:p>
      <w:pPr>
        <w:pStyle w:val="Equation"/>
      </w:pPr>
      <w:r>
        <w:t xml:space="preserve">(∫₀∞ f)² ≤ (∫₀∞(a²+x²)f² dx)(∫₀∞ dx／(a²+x²))</w:t>
      </w:r>
    </w:p>
    <w:p>
      <w:pPr>
        <w:pStyle w:val="Equation"/>
      </w:pPr>
      <w:r>
        <w:t xml:space="preserve">= (a²I₀+I₂)·π／(2a)=π／2(aI₀+I₂／a)。</w:t>
      </w:r>
    </w:p>
    <w:p>
      <w:pPr>
        <w:pStyle w:val="Normal"/>
      </w:pPr>
      <w:r>
        <w:t xml:space="preserve">右側對 a&gt;0 取最小值。由 AM–GM：</w:t>
      </w:r>
    </w:p>
    <w:p>
      <w:pPr>
        <w:pStyle w:val="Equation"/>
      </w:pPr>
      <w:r>
        <w:t xml:space="preserve">aI₀+I₂／a ≥ 2√(I₀I₂)，</w:t>
      </w:r>
    </w:p>
    <w:p>
      <w:pPr>
        <w:pStyle w:val="Normal"/>
      </w:pPr>
      <w:r>
        <w:t xml:space="preserve">等號條件是 a²=I₂／I₀。代回得：</w:t>
      </w:r>
    </w:p>
    <w:p>
      <w:pPr>
        <w:pStyle w:val="Equation"/>
      </w:pPr>
      <w:r>
        <w:t xml:space="preserve">(∫₀∞ f)² ≤ π√(I₀I₂)。</w:t>
      </w:r>
    </w:p>
    <w:p>
      <w:pPr>
        <w:pStyle w:val="Normal"/>
      </w:pPr>
      <w:r>
        <w:t xml:space="preserve">此證明同時說明積分存在：先對有限區間套用 Cauchy–Schwarz，再令區間端點趨近無窮；右側由有限的 I₀、I₂ 控制。</w:t>
      </w:r>
    </w:p>
    <w:p>
      <w:pPr>
        <w:pStyle w:val="Heading1"/>
      </w:pPr>
      <w:r>
        <w:t xml:space="preserve">三、最佳常數與等號情形</w:t>
      </w:r>
    </w:p>
    <w:p>
      <w:pPr>
        <w:pStyle w:val="Normal"/>
      </w:pPr>
      <w:r>
        <w:t xml:space="preserve">積分版常數 π 是最佳常數。對任意 a&gt;0，取 f(x)=C／(a²+x²)，C&gt;0，則 Cauchy–Schwarz 與參數最佳化都取等號：</w:t>
      </w:r>
    </w:p>
    <w:p>
      <w:pPr>
        <w:pStyle w:val="Equation"/>
      </w:pPr>
      <w:r>
        <w:t xml:space="preserve">∫₀∞ f dx=Cπ／(2a)；　I₀=C²π／(4a³)；　I₂=C²π／(4a)。</w:t>
      </w:r>
    </w:p>
    <w:p>
      <w:pPr>
        <w:pStyle w:val="Normal"/>
      </w:pPr>
      <w:r>
        <w:t xml:space="preserve">因此兩側同為 C²π²／(4a²)。一般非零非負函數取等號，當且僅當 f(x)=C／(a²+x²)（幾乎處處），其中 C,a&gt;0。</w:t>
      </w:r>
    </w:p>
    <w:p>
      <w:pPr>
        <w:pStyle w:val="Note"/>
      </w:pPr>
      <w:r>
        <w:t xml:space="preserve">若允許 f 有正有負，還需 f 幾乎處處同號，才能在 |∫f|≤∫|f| 這一步也取等號。</w:t>
      </w:r>
    </w:p>
    <w:p>
      <w:pPr>
        <w:pStyle w:val="Heading1"/>
      </w:pPr>
      <w:r>
        <w:t xml:space="preserve">四、積分版例題</w:t>
      </w:r>
    </w:p>
    <w:p>
      <w:pPr>
        <w:pStyle w:val="Normal"/>
      </w:pPr>
      <w:r>
        <w:t xml:space="preserve">令 f(x)=1／(1+x²)，即上例 C=a=1。則：</w:t>
      </w:r>
    </w:p>
    <w:p>
      <w:pPr>
        <w:pStyle w:val="Equation"/>
      </w:pPr>
      <w:r>
        <w:t xml:space="preserve">∫₀∞ f dx=π／2，　I₀=π／4，　I₂=π／4。</w:t>
      </w:r>
    </w:p>
    <w:p>
      <w:pPr>
        <w:pStyle w:val="Equation"/>
      </w:pPr>
      <w:r>
        <w:t xml:space="preserve">(∫f)²=π²／4=π√(I₀I₂)，恰好取等號。</w:t>
      </w:r>
    </w:p>
    <w:p>
      <w:pPr>
        <w:pStyle w:val="Heading1"/>
      </w:pPr>
      <w:r>
        <w:t xml:space="preserve">五、數列版定理</w:t>
      </w:r>
    </w:p>
    <w:p>
      <w:pPr>
        <w:pStyle w:val="Normal"/>
      </w:pPr>
      <w:r>
        <w:t xml:space="preserve">設 aₙ≥0（n=1,2,…），並令：</w:t>
      </w:r>
    </w:p>
    <w:p>
      <w:pPr>
        <w:pStyle w:val="Equation"/>
      </w:pPr>
      <w:r>
        <w:t xml:space="preserve">S₀=∑ₙ₌₁∞aₙ²，　S₂=∑ₙ₌₁∞n²aₙ²。</w:t>
      </w:r>
    </w:p>
    <w:p>
      <w:pPr>
        <w:pStyle w:val="Normal"/>
      </w:pPr>
      <w:r>
        <w:t xml:space="preserve">若 S₀、S₂ 都有限，則級數 ∑aₙ 收斂，且：</w:t>
      </w:r>
    </w:p>
    <w:p>
      <w:pPr>
        <w:pStyle w:val="Equation"/>
      </w:pPr>
      <w:r>
        <w:t xml:space="preserve">(∑ₙ₌₁∞aₙ)² ≤ π√(S₀S₂)。</w:t>
      </w:r>
    </w:p>
    <w:p>
      <w:pPr>
        <w:pStyle w:val="Normal"/>
      </w:pPr>
      <w:r>
        <w:t xml:space="preserve">若 aₙ 為實數或複數，左側可改成 |∑aₙ|²，右側使用 |aₙ|²。</w:t>
      </w:r>
    </w:p>
    <w:p>
      <w:pPr>
        <w:pStyle w:val="Heading1"/>
      </w:pPr>
      <w:r>
        <w:t xml:space="preserve">六、數列版證明</w:t>
      </w:r>
    </w:p>
    <w:p>
      <w:pPr>
        <w:pStyle w:val="Normal"/>
      </w:pPr>
      <w:r>
        <w:t xml:space="preserve">對任意 a&gt;0，寫成加權乘積，再套 Cauchy–Schwarz：</w:t>
      </w:r>
    </w:p>
    <w:p>
      <w:pPr>
        <w:pStyle w:val="Equation"/>
      </w:pPr>
      <w:r>
        <w:t xml:space="preserve">(∑aₙ)² ≤ (∑(a²+n²)aₙ²)(∑1／(a²+n²))</w:t>
      </w:r>
    </w:p>
    <w:p>
      <w:pPr>
        <w:pStyle w:val="Equation"/>
      </w:pPr>
      <w:r>
        <w:t xml:space="preserve">=(a²S₀+S₂)∑ₙ₌₁∞1／(a²+n²)。</w:t>
      </w:r>
    </w:p>
    <w:p>
      <w:pPr>
        <w:pStyle w:val="Normal"/>
      </w:pPr>
      <w:r>
        <w:t xml:space="preserve">函數 1／(a²+x²) 在 x≥0 單調遞減，因此每個矩形面積不超過其左側曲線面積：</w:t>
      </w:r>
    </w:p>
    <w:p>
      <w:pPr>
        <w:pStyle w:val="Equation"/>
      </w:pPr>
      <w:r>
        <w:t xml:space="preserve">∑ₙ₌₁∞1／(a²+n²) ≤ ∫₀∞ dx／(a²+x²)=π／(2a)。</w:t>
      </w:r>
    </w:p>
    <w:p>
      <w:pPr>
        <w:pStyle w:val="Normal"/>
      </w:pPr>
      <w:r>
        <w:t xml:space="preserve">於是：</w:t>
      </w:r>
    </w:p>
    <w:p>
      <w:pPr>
        <w:pStyle w:val="Normal"/>
      </w:pPr>
      <w:r>
        <w:t xml:space="preserve">為避免把方向看反，前一步給的是對每個 a 的上界： (∑aₙ)²≤π／2(aS₀+S₂／a)。再取使此上界最小的 a=√(S₂／S₀)，得：</w:t>
      </w:r>
    </w:p>
    <w:p>
      <w:pPr>
        <w:pStyle w:val="Equation"/>
      </w:pPr>
      <w:r>
        <w:t xml:space="preserve">(∑aₙ)²≤π√(S₀S₂)。</w:t>
      </w:r>
    </w:p>
    <w:p>
      <w:pPr>
        <w:pStyle w:val="Normal"/>
      </w:pPr>
      <w:r>
        <w:t xml:space="preserve">若 S₀或 S₂為 0，所有 aₙ皆為 0，不等式平凡成立。</w:t>
      </w:r>
    </w:p>
    <w:p>
      <w:pPr>
        <w:pStyle w:val="Heading1"/>
      </w:pPr>
      <w:r>
        <w:t xml:space="preserve">七、數列版中的 π 也是最佳常數</w:t>
      </w:r>
    </w:p>
    <w:p>
      <w:pPr>
        <w:pStyle w:val="Normal"/>
      </w:pPr>
      <w:r>
        <w:t xml:space="preserve">令 aₙ=1／(n²+A²)，並令 A 趨近無窮。黎曼和近似給出：</w:t>
      </w:r>
    </w:p>
    <w:p>
      <w:pPr>
        <w:pStyle w:val="Normal"/>
      </w:pPr>
      <w:r>
        <w:t xml:space="preserve">為了明確控制黎曼和誤差，令 h=1／A，並設 g₀(t)=1／(1+t²)、g₁(t)=1／(1+t²)²、g₂(t)=t²／(1+t²)²。記 L_A=∑ₙ₌₁∞1／(n²+A²)、Q₀,A=∑ₙ₌₁∞1／(n²+A²)²、Q₂,A=∑ₙ₌₁∞n²／(n²+A²)²，則三者分別等於 A⁻¹[h∑g₀(nh)]、A⁻³[h∑g₁(nh)]、A⁻¹[h∑g₂(nh)]。</w:t>
      </w:r>
    </w:p>
    <w:p>
      <w:pPr>
        <w:pStyle w:val="Normal"/>
      </w:pPr>
      <w:r>
        <w:t xml:space="preserve">三個積分為 ∫₀∞g₀=π／2、∫₀∞g₁=π／4、∫₀∞g₂=π／4。g₀、g₁ 單調遞減，右端黎曼和誤差不超過 h；g₂ 先升後降，總變差為 1／2，故其右端黎曼和與積分的差至多 h／2。</w:t>
      </w:r>
    </w:p>
    <w:p>
      <w:pPr>
        <w:pStyle w:val="Normal"/>
      </w:pPr>
      <w:r>
        <w:t xml:space="preserve">因此有明確界：0≤π／(2A)−L_A≤1／A²；0≤π／(4A³)−Q₀,A≤1／A⁴；|Q₂,A−π／(4A)|≤1／(2A²)。於是 A L_A→π／2、A³Q₀,A→π／4、A Q₂,A→π／4，並得 (∑aₙ)²／√(S₀S₂)=L_A²／√(Q₀,AQ₂,A)→π。這些誤差界使最佳常數的極限論證不依賴未量化的「近似」。</w:t>
      </w:r>
    </w:p>
    <w:p>
      <w:pPr>
        <w:pStyle w:val="Equation"/>
      </w:pPr>
      <w:r>
        <w:t xml:space="preserve">∑aₙ∼π／(2A)，　S₀∼π／(4A³)，　S₂∼π／(4A)。</w:t>
      </w:r>
    </w:p>
    <w:p>
      <w:pPr>
        <w:pStyle w:val="Normal"/>
      </w:pPr>
      <w:r>
        <w:t xml:space="preserve">因此比值 (∑aₙ)²／√(S₀S₂) 趨近 π。任何小於 π 的常數都無法對所有數列成立，所以 π 最佳；由於離散求和到積分的比較嚴格，非零數列不會取到等號。</w:t>
      </w:r>
    </w:p>
    <w:p>
      <w:pPr>
        <w:jc w:val="center"/>
      </w:pPr>
      <w:r>
        <w:drawing>
          <wp:inline distT="0" distB="0" distL="0" distR="0">
            <wp:extent cx="5486400" cy="1402080"/>
            <wp:docPr id="1" name="卡爾松不等式參數平衡圖"/>
            <wp:cNvGraphicFramePr/>
            <a:graphic>
              <a:graphicData uri="http://schemas.openxmlformats.org/drawingml/2006/picture">
                <pic:pic>
                  <pic:nvPicPr>
                    <pic:cNvPr id="0" name="carlson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八、使用條件與常見錯誤</w:t>
      </w:r>
    </w:p>
    <w:p>
      <w:pPr>
        <w:pStyle w:val="Normal"/>
      </w:pPr>
      <w:r>
        <w:t xml:space="preserve">1. 兩個二次量都要有限；積分版是 ∫f²、∫x²f²，數列版是 ∑aₙ²、∑n²aₙ²。</w:t>
      </w:r>
    </w:p>
    <w:p>
      <w:pPr>
        <w:pStyle w:val="Normal"/>
      </w:pPr>
      <w:r>
        <w:t xml:space="preserve">2. a 是任意正參數；最佳選擇為 a=√(I₂／I₀) 或 a=√(S₂／S₀)，不可把平方根漏掉。</w:t>
      </w:r>
    </w:p>
    <w:p>
      <w:pPr>
        <w:pStyle w:val="Normal"/>
      </w:pPr>
      <w:r>
        <w:t xml:space="preserve">3. Cauchy–Schwarz先得到含 a 的界，再最小化；AM–GM 是用來估計 aI₀+I₂/a。</w:t>
      </w:r>
    </w:p>
    <w:p>
      <w:pPr>
        <w:pStyle w:val="Normal"/>
      </w:pPr>
      <w:r>
        <w:t xml:space="preserve">4. 積分版可達到等號，等號函數為 C／(a²+x²)；數列版常數仍最佳，但離散比較使非零數列不取等號。</w:t>
      </w:r>
    </w:p>
    <w:p>
      <w:pPr>
        <w:pStyle w:val="Heading1"/>
      </w:pPr>
      <w:r>
        <w:t xml:space="preserve">九、公式總表</w:t>
      </w:r>
    </w:p>
    <w:p>
      <w:pPr>
        <w:pStyle w:val="Equation"/>
      </w:pPr>
      <w:r>
        <w:t xml:space="preserve">積分版：　(∫₀∞f)²≤π√[(∫₀∞f²)(∫₀∞x²f²)]。</w:t>
      </w:r>
    </w:p>
    <w:p>
      <w:pPr>
        <w:pStyle w:val="Equation"/>
      </w:pPr>
      <w:r>
        <w:t xml:space="preserve">數列版：　(∑aₙ)²≤π√[(∑aₙ²)(∑n²aₙ²)]。</w:t>
      </w:r>
    </w:p>
    <w:p>
      <w:pPr>
        <w:pStyle w:val="Equation"/>
      </w:pPr>
      <w:r>
        <w:t xml:space="preserve">含參數的共同核心：　左側≤π／2(aM₀+M₂／a)，最佳 a=√(M₂／M₀)。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arlson.svg"/></Relationships>
</file>