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線上點到兩點平方距離和的最小值</w:t>
      </w:r>
    </w:p>
    <w:p>
      <w:pPr>
        <w:pStyle w:val="Heading2"/>
      </w:pPr>
      <w:r>
        <w:t xml:space="preserve">在直線 ℓ 上選點 P，使 PA²＋PB² 最小；最優點是線段 AB 中點 M 在 ℓ 上的垂足 Q。</w:t>
      </w:r>
    </w:p>
    <w:p>
      <w:pPr>
        <w:pStyle w:val="Heading1"/>
      </w:pPr>
      <w:r>
        <w:t xml:space="preserve">定理</w:t>
      </w:r>
    </w:p>
    <w:p>
      <w:pPr>
        <w:pStyle w:val="Normal"/>
      </w:pPr>
      <w:r>
        <w:t xml:space="preserve">在直線 ℓ 上選點 P，使 PA²＋PB² 最小；最優點是線段 AB 中點 M 在 ℓ 上的垂足 Q。</w:t>
      </w:r>
    </w:p>
    <w:p>
      <w:pPr>
        <w:pStyle w:val="Heading1"/>
      </w:pPr>
      <w:r>
        <w:t xml:space="preserve">證明</w:t>
      </w:r>
    </w:p>
    <w:p>
      <w:pPr>
        <w:pStyle w:val="Normal"/>
      </w:pPr>
      <w:r>
        <w:t xml:space="preserve">作法一：中點公式。令 M 為 AB 中點。平行四邊形定理給出 PA²＋PB²＝2PM²＋AB²／2。因 AB 固定，右式只有 PM²會隨 P 改變。</w:t>
      </w:r>
    </w:p>
    <w:p>
      <w:pPr>
        <w:pStyle w:val="Normal"/>
      </w:pPr>
      <w:r>
        <w:t xml:space="preserve">當 P 限定在 ℓ 上時，PM 在 M 到 ℓ 的垂線垂足 Q 處最短。因此 PA²＋PB² 在 P=Q 時達到最小。</w:t>
      </w:r>
    </w:p>
    <w:p>
      <w:pPr>
        <w:pStyle w:val="Normal"/>
      </w:pPr>
      <w:r>
        <w:t xml:space="preserve">作法二：座標配方。取 ℓ 為 x 軸，設 A=(a,u)、B=(b,v)、P=(t,0)。則 PA²＋PB²=(t−a)²+(t−b)²+u²+v²。</w:t>
      </w:r>
    </w:p>
    <w:p>
      <w:pPr>
        <w:pStyle w:val="Normal"/>
      </w:pPr>
      <w:r>
        <w:t xml:space="preserve">配方後，PA²＋PB²＝2(t−(a+b)/2)²＋(a−b)²/2＋u²＋v²。後三項固定，第一項在 t=(a+b)/2 時最小。這正是中點 M 的 x 座標，也就是 M 在 ℓ 上的垂足 Q。</w:t>
      </w:r>
    </w:p>
    <w:p>
      <w:pPr>
        <w:pStyle w:val="Normal"/>
      </w:pPr>
      <w:r>
        <w:t xml:space="preserve">物理類比：把 A、B 看成質量各為 1 的質點，則 PA²＋PB² 是兩點對通過 P、垂直於平面的轉軸之轉動慣量。公式 PA²＋PB²=AB²／2＋2PM² 正是平行軸定理；AB²／2 是質心 M 處的固定部分。</w:t>
      </w:r>
    </w:p>
    <w:p>
      <w:pPr>
        <w:pStyle w:val="Heading1"/>
      </w:pPr>
      <w:r>
        <w:t xml:space="preserve">示意圖</w:t>
      </w:r>
    </w:p>
    <w:p>
      <w:pPr>
        <w:jc w:val="center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>
            <wp:extent cx="5486400" cy="3429000"/>
            <wp:docPr id="1" name="幾何示意圖"/>
            <a:graphic>
              <a:graphicData uri="http://schemas.openxmlformats.org/drawingml/2006/picture">
                <pic:pic>
                  <pic:nvPicPr>
                    <pic:cNvPr id="0" name="diagram.sv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圖為依證明條件繪製的示意圖，非依比例。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eastAsia="Microsoft JhengHei" w:ascii="Aptos" w:hAnsi="Aptos"/>
        <w:sz w:val="22"/>
      </w:rPr>
    </w:rPrDefault>
    <w:pPrDefault>
      <w:pPr>
        <w:spacing w:after="160" w:line="360" w:lineRule="auto"/>
      </w:pPr>
    </w:pPrDefault>
  </w:docDefaults>
  <w:style w:type="paragraph" w:default="1" w:styleId="Normal">
    <w:name w:val="Normal"/>
  </w:style>
  <w:style w:type="paragraph" w:styleId="Title">
    <w:name w:val="Title"/>
    <w:rPr>
      <w:b/>
      <w:sz w:val="36"/>
      <w:color w:val="16324F"/>
    </w:rPr>
  </w:style>
  <w:style w:type="paragraph" w:styleId="Heading1">
    <w:name w:val="heading 1"/>
    <w:rPr>
      <w:b/>
      <w:sz w:val="26"/>
      <w:color w:val="1D4ED8"/>
    </w:rPr>
  </w:style>
  <w:style w:type="paragraph" w:styleId="Heading2">
    <w:name w:val="heading 2"/>
    <w:rPr>
      <w:b/>
      <w:sz w:val="2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diagram.svg"/></Relationships>
</file>